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b/>
          <w:bCs/>
          <w:color w:val="1F3864"/>
          <w:sz w:val="20"/>
          <w:szCs w:val="20"/>
        </w:rPr>
        <w:t xml:space="preserve">RECLAIM TAIWAN INTERNATIONAL ENTERPRISE CO., LTD.</w:t>
      </w:r>
    </w:p>
    <w:p>
      <w:pPr>
        <w:spacing w:after="300"/>
        <w:jc w:val="center"/>
      </w:pPr>
      <w:r>
        <w:rPr>
          <w:rFonts w:ascii="PMingLiU" w:cs="PMingLiU" w:eastAsia="PMingLiU" w:hAnsi="PMingLiU"/>
          <w:color w:val="595959"/>
          <w:sz w:val="20"/>
          <w:szCs w:val="20"/>
        </w:rPr>
        <w:t xml:space="preserve">瑞岸國際有限公司　統一編號 27749985</w:t>
      </w:r>
    </w:p>
    <w:p>
      <w:pPr>
        <w:spacing w:after="40"/>
        <w:jc w:val="center"/>
      </w:pPr>
      <w:r>
        <w:rPr>
          <w:b/>
          <w:bCs/>
          <w:color w:val="1F3864"/>
          <w:sz w:val="34"/>
          <w:szCs w:val="34"/>
        </w:rPr>
        <w:t xml:space="preserve">HHH Cloud Setup — Hetzner Storage Share</w:t>
      </w:r>
    </w:p>
    <w:p>
      <w:pPr>
        <w:spacing w:after="40"/>
        <w:jc w:val="center"/>
      </w:pPr>
      <w:r>
        <w:rPr>
          <w:rFonts w:ascii="PMingLiU" w:cs="PMingLiU" w:eastAsia="PMingLiU" w:hAnsi="PMingLiU"/>
          <w:b/>
          <w:bCs/>
          <w:color w:val="595959"/>
          <w:sz w:val="28"/>
          <w:szCs w:val="28"/>
        </w:rPr>
        <w:t xml:space="preserve">HHH 雲端設定 — Hetzner Storage Share</w:t>
      </w:r>
    </w:p>
    <w:p>
      <w:pPr>
        <w:spacing w:after="60"/>
        <w:jc w:val="center"/>
      </w:pPr>
      <w:r>
        <w:rPr>
          <w:color w:val="595959"/>
          <w:sz w:val="22"/>
          <w:szCs w:val="22"/>
        </w:rPr>
        <w:t xml:space="preserve">Version 2  ／  第二版　　23 July 2026</w:t>
      </w:r>
    </w:p>
    <w:p>
      <w:pPr>
        <w:pBdr>
          <w:bottom w:val="single" w:color="1F3864" w:sz="6" w:space="6"/>
        </w:pBdr>
        <w:spacing w:after="240"/>
      </w:pPr>
      <w:r>
        <w:t xml:space="preserve"/>
      </w:r>
    </w:p>
    <w:p>
      <w:pPr>
        <w:pStyle w:val="Heading1"/>
        <w:spacing w:after="140" w:before="320"/>
      </w:pPr>
      <w:r>
        <w:rPr>
          <w:b/>
          <w:bCs/>
          <w:color w:val="1F3864"/>
          <w:sz w:val="26"/>
          <w:szCs w:val="26"/>
        </w:rPr>
        <w:t xml:space="preserve">1. Purpose</w:t>
      </w:r>
      <w:r>
        <w:rPr>
          <w:rFonts w:ascii="PMingLiU" w:cs="PMingLiU" w:eastAsia="PMingLiU" w:hAnsi="PMingLiU"/>
          <w:b/>
          <w:bCs/>
          <w:color w:val="1F3864"/>
          <w:sz w:val="26"/>
          <w:szCs w:val="26"/>
        </w:rPr>
        <w:t xml:space="preserve">  ／  目的</w:t>
      </w:r>
    </w:p>
    <w:p>
      <w:pPr>
        <w:spacing w:after="60"/>
      </w:pPr>
      <w:r>
        <w:rPr>
          <w:b w:val="false"/>
          <w:bCs w:val="false"/>
          <w:sz w:val="22"/>
          <w:szCs w:val="22"/>
        </w:rPr>
        <w:t xml:space="preserve">A shared, GDPR-hosted file store with named access, giving every authorized person the same files on their own machine, and giving the company a single off-site backup of all working material.</w:t>
      </w:r>
    </w:p>
    <w:p>
      <w:pPr>
        <w:spacing w:after="200"/>
      </w:pPr>
      <w:r>
        <w:rPr>
          <w:rFonts w:ascii="PMingLiU" w:cs="PMingLiU" w:eastAsia="PMingLiU" w:hAnsi="PMingLiU"/>
          <w:color w:val="595959"/>
          <w:sz w:val="22"/>
          <w:szCs w:val="22"/>
        </w:rPr>
        <w:t xml:space="preserve">建立一個受 GDPR 規範、具指定使用者存取權的共用檔案儲存空間，使每位獲授權人員於自己的電腦上取得相同檔案，並為公司所有作業素材提供單一異地備份。</w:t>
      </w:r>
    </w:p>
    <w:p>
      <w:pPr>
        <w:pStyle w:val="Heading1"/>
        <w:spacing w:after="140" w:before="320"/>
      </w:pPr>
      <w:r>
        <w:rPr>
          <w:b/>
          <w:bCs/>
          <w:color w:val="1F3864"/>
          <w:sz w:val="26"/>
          <w:szCs w:val="26"/>
        </w:rPr>
        <w:t xml:space="preserve">2. Service</w:t>
      </w:r>
      <w:r>
        <w:rPr>
          <w:rFonts w:ascii="PMingLiU" w:cs="PMingLiU" w:eastAsia="PMingLiU" w:hAnsi="PMingLiU"/>
          <w:b/>
          <w:bCs/>
          <w:color w:val="1F3864"/>
          <w:sz w:val="26"/>
          <w:szCs w:val="26"/>
        </w:rPr>
        <w:t xml:space="preserve">  ／  服務</w:t>
      </w:r>
    </w:p>
    <w:p>
      <w:pPr>
        <w:spacing w:after="60"/>
      </w:pPr>
      <w:r>
        <w:rPr>
          <w:b w:val="false"/>
          <w:bCs w:val="false"/>
          <w:sz w:val="22"/>
          <w:szCs w:val="22"/>
        </w:rPr>
        <w:t xml:space="preserve">Hetzner Storage Share — Hetzner's managed Nextcloud service, hosted in Falkenstein, Germany. Hetzner maintains the server; we do not.</w:t>
      </w:r>
    </w:p>
    <w:p>
      <w:pPr>
        <w:spacing w:after="200"/>
      </w:pPr>
      <w:r>
        <w:rPr>
          <w:rFonts w:ascii="PMingLiU" w:cs="PMingLiU" w:eastAsia="PMingLiU" w:hAnsi="PMingLiU"/>
          <w:color w:val="595959"/>
          <w:sz w:val="22"/>
          <w:szCs w:val="22"/>
        </w:rPr>
        <w:t xml:space="preserve">Hetzner Storage Share — 由 Hetzner 代管的 Nextcloud 服務，主機位於德國 Falkenstein。伺服器由 Hetzner 維護，我方不需自行維運。</w:t>
      </w:r>
    </w:p>
    <w:p>
      <w:pPr>
        <w:pStyle w:val="Heading1"/>
        <w:spacing w:after="140" w:before="320"/>
      </w:pPr>
      <w:r>
        <w:rPr>
          <w:b/>
          <w:bCs/>
          <w:color w:val="1F3864"/>
          <w:sz w:val="26"/>
          <w:szCs w:val="26"/>
        </w:rPr>
        <w:t xml:space="preserve">3. Tier</w:t>
      </w:r>
      <w:r>
        <w:rPr>
          <w:rFonts w:ascii="PMingLiU" w:cs="PMingLiU" w:eastAsia="PMingLiU" w:hAnsi="PMingLiU"/>
          <w:b/>
          <w:bCs/>
          <w:color w:val="1F3864"/>
          <w:sz w:val="26"/>
          <w:szCs w:val="26"/>
        </w:rPr>
        <w:t xml:space="preserve">  ／  方案等級</w:t>
      </w:r>
    </w:p>
    <w:p>
      <w:pPr>
        <w:spacing w:after="60"/>
      </w:pPr>
      <w:r>
        <w:rPr>
          <w:b w:val="false"/>
          <w:bCs w:val="false"/>
          <w:sz w:val="22"/>
          <w:szCs w:val="22"/>
        </w:rPr>
        <w:t xml:space="preserve">NX31 (10 TB) is the planning tier, because video production retains all raw footage. Confirm by totalling the four backup sources before the tier is finalized.</w:t>
      </w:r>
    </w:p>
    <w:p>
      <w:pPr>
        <w:spacing w:after="200"/>
      </w:pPr>
      <w:r>
        <w:rPr>
          <w:rFonts w:ascii="PMingLiU" w:cs="PMingLiU" w:eastAsia="PMingLiU" w:hAnsi="PMingLiU"/>
          <w:color w:val="595959"/>
          <w:sz w:val="22"/>
          <w:szCs w:val="22"/>
        </w:rPr>
        <w:t xml:space="preserve">規劃採用 NX31（10 TB）方案，因影片製作須保留全部原始素材。於最終確定方案前，應先加總四個備份來源的容量以資確認。</w:t>
      </w:r>
    </w:p>
    <w:p>
      <w:pPr>
        <w:spacing w:after="60"/>
      </w:pPr>
      <w:r>
        <w:rPr>
          <w:b/>
          <w:bCs/>
          <w:sz w:val="22"/>
          <w:szCs w:val="22"/>
        </w:rPr>
        <w:t xml:space="preserve">See Section 13 before ordering NX31.</w:t>
      </w:r>
    </w:p>
    <w:p>
      <w:pPr>
        <w:spacing w:after="200"/>
      </w:pPr>
      <w:r>
        <w:rPr>
          <w:rFonts w:ascii="PMingLiU" w:cs="PMingLiU" w:eastAsia="PMingLiU" w:hAnsi="PMingLiU"/>
          <w:color w:val="595959"/>
          <w:sz w:val="22"/>
          <w:szCs w:val="22"/>
        </w:rPr>
        <w:t xml:space="preserve">訂購 NX31 之前，請先參閱第 13 節。</w:t>
      </w:r>
    </w:p>
    <w:p>
      <w:pPr>
        <w:pStyle w:val="Heading1"/>
        <w:spacing w:after="140" w:before="320"/>
      </w:pPr>
      <w:r>
        <w:rPr>
          <w:b/>
          <w:bCs/>
          <w:color w:val="1F3864"/>
          <w:sz w:val="26"/>
          <w:szCs w:val="26"/>
        </w:rPr>
        <w:t xml:space="preserve">4. Two-layer strategy</w:t>
      </w:r>
      <w:r>
        <w:rPr>
          <w:rFonts w:ascii="PMingLiU" w:cs="PMingLiU" w:eastAsia="PMingLiU" w:hAnsi="PMingLiU"/>
          <w:b/>
          <w:bCs/>
          <w:color w:val="1F3864"/>
          <w:sz w:val="26"/>
          <w:szCs w:val="26"/>
        </w:rPr>
        <w:t xml:space="preserve">  ／  兩層備份策略</w:t>
      </w:r>
    </w:p>
    <w:p>
      <w:pPr>
        <w:spacing w:after="60"/>
      </w:pPr>
      <w:r>
        <w:rPr>
          <w:b w:val="false"/>
          <w:bCs w:val="false"/>
          <w:sz w:val="22"/>
          <w:szCs w:val="22"/>
        </w:rPr>
        <w:t xml:space="preserve">Storage Share holds the active, synced working files and appears in Windows File Explorer. A Hetzner Storage Box is added as the cheaper deep archive for material that is finished and no longer edited.</w:t>
      </w:r>
    </w:p>
    <w:p>
      <w:pPr>
        <w:spacing w:after="200"/>
      </w:pPr>
      <w:r>
        <w:rPr>
          <w:rFonts w:ascii="PMingLiU" w:cs="PMingLiU" w:eastAsia="PMingLiU" w:hAnsi="PMingLiU"/>
          <w:color w:val="595959"/>
          <w:sz w:val="22"/>
          <w:szCs w:val="22"/>
        </w:rPr>
        <w:t xml:space="preserve">Storage Share 存放日常同步的作業檔案，並顯示於 Windows 檔案總管中。另加購 Hetzner Storage Box 作為較低成本的深層封存空間，用於存放已完成、不再編輯的素材。</w:t>
      </w:r>
    </w:p>
    <w:p>
      <w:pPr>
        <w:pStyle w:val="Heading1"/>
        <w:spacing w:after="140" w:before="320"/>
      </w:pPr>
      <w:r>
        <w:rPr>
          <w:b/>
          <w:bCs/>
          <w:color w:val="1F3864"/>
          <w:sz w:val="26"/>
          <w:szCs w:val="26"/>
        </w:rPr>
        <w:t xml:space="preserve">5. Named users</w:t>
      </w:r>
      <w:r>
        <w:rPr>
          <w:rFonts w:ascii="PMingLiU" w:cs="PMingLiU" w:eastAsia="PMingLiU" w:hAnsi="PMingLiU"/>
          <w:b/>
          <w:bCs/>
          <w:color w:val="1F3864"/>
          <w:sz w:val="26"/>
          <w:szCs w:val="26"/>
        </w:rPr>
        <w:t xml:space="preserve">  ／  指定使用者</w:t>
      </w:r>
    </w:p>
    <w:p>
      <w:pPr>
        <w:spacing w:after="60"/>
      </w:pPr>
      <w:r>
        <w:rPr>
          <w:b/>
          <w:bCs/>
          <w:sz w:val="22"/>
          <w:szCs w:val="22"/>
        </w:rPr>
        <w:t xml:space="preserve">No account is to be created or activated without Richard W. Hartzell's personal approval.</w:t>
      </w:r>
    </w:p>
    <w:p>
      <w:pPr>
        <w:spacing w:after="200"/>
      </w:pPr>
      <w:r>
        <w:rPr>
          <w:rFonts w:ascii="PMingLiU" w:cs="PMingLiU" w:eastAsia="PMingLiU" w:hAnsi="PMingLiU"/>
          <w:color w:val="595959"/>
          <w:sz w:val="22"/>
          <w:szCs w:val="22"/>
        </w:rPr>
        <w:t xml:space="preserve">未經何瑞元本人核准，不得建立或啟用任何帳號。</w:t>
      </w:r>
    </w:p>
    <w:p>
      <w:pPr>
        <w:pStyle w:val="ListParagraph"/>
        <w:numPr>
          <w:ilvl w:val="0"/>
          <w:numId w:val="1"/>
        </w:numPr>
        <w:spacing w:after="40"/>
      </w:pPr>
      <w:r>
        <w:rPr>
          <w:sz w:val="22"/>
          <w:szCs w:val="22"/>
        </w:rPr>
        <w:t xml:space="preserve">Richard W. Hartzell (何瑞元) — owner / administration account; full access</w:t>
      </w:r>
    </w:p>
    <w:p>
      <w:pPr>
        <w:pStyle w:val="ListParagraph"/>
        <w:numPr>
          <w:ilvl w:val="0"/>
          <w:numId w:val="1"/>
        </w:numPr>
        <w:spacing w:after="140"/>
      </w:pPr>
      <w:r>
        <w:rPr>
          <w:rFonts w:ascii="PMingLiU" w:cs="PMingLiU" w:eastAsia="PMingLiU" w:hAnsi="PMingLiU"/>
          <w:color w:val="595959"/>
          <w:sz w:val="22"/>
          <w:szCs w:val="22"/>
        </w:rPr>
        <w:t xml:space="preserve">何瑞元 — 擁有者／管理帳號；完整存取權</w:t>
      </w:r>
    </w:p>
    <w:p>
      <w:pPr>
        <w:pStyle w:val="ListParagraph"/>
        <w:numPr>
          <w:ilvl w:val="0"/>
          <w:numId w:val="1"/>
        </w:numPr>
        <w:spacing w:after="40"/>
      </w:pPr>
      <w:r>
        <w:rPr>
          <w:sz w:val="22"/>
          <w:szCs w:val="22"/>
        </w:rPr>
        <w:t xml:space="preserve">Andrew J. Hartzell (何岸榮) — full access</w:t>
      </w:r>
    </w:p>
    <w:p>
      <w:pPr>
        <w:pStyle w:val="ListParagraph"/>
        <w:numPr>
          <w:ilvl w:val="0"/>
          <w:numId w:val="1"/>
        </w:numPr>
        <w:spacing w:after="140"/>
      </w:pPr>
      <w:r>
        <w:rPr>
          <w:rFonts w:ascii="PMingLiU" w:cs="PMingLiU" w:eastAsia="PMingLiU" w:hAnsi="PMingLiU"/>
          <w:color w:val="595959"/>
          <w:sz w:val="22"/>
          <w:szCs w:val="22"/>
        </w:rPr>
        <w:t xml:space="preserve">何岸榮 — 完整存取權</w:t>
      </w:r>
    </w:p>
    <w:p>
      <w:pPr>
        <w:pStyle w:val="ListParagraph"/>
        <w:numPr>
          <w:ilvl w:val="0"/>
          <w:numId w:val="1"/>
        </w:numPr>
        <w:spacing w:after="40"/>
      </w:pPr>
      <w:r>
        <w:rPr>
          <w:sz w:val="22"/>
          <w:szCs w:val="22"/>
        </w:rPr>
        <w:t xml:space="preserve">RanaAsad — production / video head, Moscow; full access; creates and manages projects</w:t>
      </w:r>
    </w:p>
    <w:p>
      <w:pPr>
        <w:pStyle w:val="ListParagraph"/>
        <w:numPr>
          <w:ilvl w:val="0"/>
          <w:numId w:val="1"/>
        </w:numPr>
        <w:spacing w:after="140"/>
      </w:pPr>
      <w:r>
        <w:rPr>
          <w:rFonts w:ascii="PMingLiU" w:cs="PMingLiU" w:eastAsia="PMingLiU" w:hAnsi="PMingLiU"/>
          <w:color w:val="595959"/>
          <w:sz w:val="22"/>
          <w:szCs w:val="22"/>
        </w:rPr>
        <w:t xml:space="preserve">RanaAsad — 製作與影片負責人，莫斯科；完整存取權；負責建立與管理專案</w:t>
      </w:r>
    </w:p>
    <w:p>
      <w:pPr>
        <w:pStyle w:val="ListParagraph"/>
        <w:numPr>
          <w:ilvl w:val="0"/>
          <w:numId w:val="1"/>
        </w:numPr>
        <w:spacing w:after="40"/>
      </w:pPr>
      <w:r>
        <w:rPr>
          <w:sz w:val="22"/>
          <w:szCs w:val="22"/>
        </w:rPr>
        <w:t xml:space="preserve">Mr. Sung (宋正信) — print shop; contact 0936 146 494</w:t>
      </w:r>
    </w:p>
    <w:p>
      <w:pPr>
        <w:pStyle w:val="ListParagraph"/>
        <w:numPr>
          <w:ilvl w:val="0"/>
          <w:numId w:val="1"/>
        </w:numPr>
        <w:spacing w:after="140"/>
      </w:pPr>
      <w:r>
        <w:rPr>
          <w:rFonts w:ascii="PMingLiU" w:cs="PMingLiU" w:eastAsia="PMingLiU" w:hAnsi="PMingLiU"/>
          <w:color w:val="595959"/>
          <w:sz w:val="22"/>
          <w:szCs w:val="22"/>
        </w:rPr>
        <w:t xml:space="preserve">宋正信先生 — 印刷廠；聯絡電話 0936 146 494</w:t>
      </w:r>
    </w:p>
    <w:p>
      <w:pPr>
        <w:pStyle w:val="ListParagraph"/>
        <w:numPr>
          <w:ilvl w:val="0"/>
          <w:numId w:val="1"/>
        </w:numPr>
        <w:spacing w:after="40"/>
      </w:pPr>
      <w:r>
        <w:rPr>
          <w:sz w:val="22"/>
          <w:szCs w:val="22"/>
        </w:rPr>
        <w:t xml:space="preserve">[Production company — one person, name to be confirmed]</w:t>
      </w:r>
    </w:p>
    <w:p>
      <w:pPr>
        <w:pStyle w:val="ListParagraph"/>
        <w:numPr>
          <w:ilvl w:val="0"/>
          <w:numId w:val="1"/>
        </w:numPr>
        <w:spacing w:after="140"/>
      </w:pPr>
      <w:r>
        <w:rPr>
          <w:rFonts w:ascii="PMingLiU" w:cs="PMingLiU" w:eastAsia="PMingLiU" w:hAnsi="PMingLiU"/>
          <w:color w:val="595959"/>
          <w:sz w:val="22"/>
          <w:szCs w:val="22"/>
        </w:rPr>
        <w:t xml:space="preserve">［製作公司 — 一名人員，姓名待確認］</w:t>
      </w:r>
    </w:p>
    <w:p>
      <w:pPr>
        <w:spacing w:after="60"/>
      </w:pPr>
      <w:r>
        <w:rPr>
          <w:b w:val="false"/>
          <w:bCs w:val="false"/>
          <w:sz w:val="22"/>
          <w:szCs w:val="22"/>
        </w:rPr>
        <w:t xml:space="preserve">Further seats (additional production-company staff, secretarial staff) are to be added later, individually, on written instruction.</w:t>
      </w:r>
    </w:p>
    <w:p>
      <w:pPr>
        <w:spacing w:after="200"/>
      </w:pPr>
      <w:r>
        <w:rPr>
          <w:rFonts w:ascii="PMingLiU" w:cs="PMingLiU" w:eastAsia="PMingLiU" w:hAnsi="PMingLiU"/>
          <w:color w:val="595959"/>
          <w:sz w:val="22"/>
          <w:szCs w:val="22"/>
        </w:rPr>
        <w:t xml:space="preserve">其餘帳號（其他製作公司人員、秘書人員）日後依書面指示逐一新增。</w:t>
      </w:r>
    </w:p>
    <w:p>
      <w:pPr>
        <w:pStyle w:val="Heading1"/>
        <w:spacing w:after="140" w:before="320"/>
      </w:pPr>
      <w:r>
        <w:rPr>
          <w:b/>
          <w:bCs/>
          <w:color w:val="1F3864"/>
          <w:sz w:val="26"/>
          <w:szCs w:val="26"/>
        </w:rPr>
        <w:t xml:space="preserve">6. Sign-up</w:t>
      </w:r>
      <w:r>
        <w:rPr>
          <w:rFonts w:ascii="PMingLiU" w:cs="PMingLiU" w:eastAsia="PMingLiU" w:hAnsi="PMingLiU"/>
          <w:b/>
          <w:bCs/>
          <w:color w:val="1F3864"/>
          <w:sz w:val="26"/>
          <w:szCs w:val="26"/>
        </w:rPr>
        <w:t xml:space="preserve">  ／  註冊入口</w:t>
      </w:r>
    </w:p>
    <w:p>
      <w:pPr>
        <w:spacing w:after="60"/>
      </w:pPr>
      <w:r>
        <w:rPr>
          <w:b w:val="false"/>
          <w:bCs w:val="false"/>
          <w:sz w:val="22"/>
          <w:szCs w:val="22"/>
        </w:rPr>
        <w:t xml:space="preserve">Go to konsoleh.hetzner.com. Set Language to English and Currency to USD, create the account, then order the Storage Share plan. Hetzner provisions a private instance, which takes a short while. Named users are then added from within the console. The Hetzner site and all its documentation are in English.</w:t>
      </w:r>
    </w:p>
    <w:p>
      <w:pPr>
        <w:spacing w:after="200"/>
      </w:pPr>
      <w:r>
        <w:rPr>
          <w:rFonts w:ascii="PMingLiU" w:cs="PMingLiU" w:eastAsia="PMingLiU" w:hAnsi="PMingLiU"/>
          <w:color w:val="595959"/>
          <w:sz w:val="22"/>
          <w:szCs w:val="22"/>
        </w:rPr>
        <w:t xml:space="preserve">前往 konsoleh.hetzner.com，語言設定為 English、幣別設定為 USD，建立帳號後訂購 Storage Share 方案。Hetzner 將建立專屬執行個體，需稍候片刻。指定使用者隨後於管理介面中新增。Hetzner 網站及全部說明文件均為英文。</w:t>
      </w:r>
    </w:p>
    <w:p>
      <w:pPr>
        <w:spacing w:after="60"/>
      </w:pPr>
      <w:r>
        <w:rPr>
          <w:b/>
          <w:bCs/>
          <w:sz w:val="22"/>
          <w:szCs w:val="22"/>
        </w:rPr>
        <w:t xml:space="preserve">The account must be registered to 瑞岸國際有限公司 at its Taiwan address. See Section 13.</w:t>
      </w:r>
    </w:p>
    <w:p>
      <w:pPr>
        <w:spacing w:after="200"/>
      </w:pPr>
      <w:r>
        <w:rPr>
          <w:rFonts w:ascii="PMingLiU" w:cs="PMingLiU" w:eastAsia="PMingLiU" w:hAnsi="PMingLiU"/>
          <w:color w:val="595959"/>
          <w:sz w:val="22"/>
          <w:szCs w:val="22"/>
        </w:rPr>
        <w:t xml:space="preserve">帳號必須以瑞岸國際有限公司之台灣地址登記。請參閱第 13 節。</w:t>
      </w:r>
    </w:p>
    <w:p>
      <w:pPr>
        <w:pStyle w:val="Heading1"/>
        <w:spacing w:after="140" w:before="320"/>
      </w:pPr>
      <w:r>
        <w:rPr>
          <w:b/>
          <w:bCs/>
          <w:color w:val="1F3864"/>
          <w:sz w:val="26"/>
          <w:szCs w:val="26"/>
        </w:rPr>
        <w:t xml:space="preserve">7. Migration</w:t>
      </w:r>
      <w:r>
        <w:rPr>
          <w:rFonts w:ascii="PMingLiU" w:cs="PMingLiU" w:eastAsia="PMingLiU" w:hAnsi="PMingLiU"/>
          <w:b/>
          <w:bCs/>
          <w:color w:val="1F3864"/>
          <w:sz w:val="26"/>
          <w:szCs w:val="26"/>
        </w:rPr>
        <w:t xml:space="preserve">  ／  資料轉移</w:t>
      </w:r>
    </w:p>
    <w:p>
      <w:pPr>
        <w:spacing w:after="60"/>
      </w:pPr>
      <w:r>
        <w:rPr>
          <w:b w:val="false"/>
          <w:bCs w:val="false"/>
          <w:sz w:val="22"/>
          <w:szCs w:val="22"/>
        </w:rPr>
        <w:t xml:space="preserve">Import from the four existing backup sources into named subdirectories. Verify the migration in full before anything is deleted from the source drives. Cancel iDrive only after Hetzner has been verified.</w:t>
      </w:r>
    </w:p>
    <w:p>
      <w:pPr>
        <w:spacing w:after="200"/>
      </w:pPr>
      <w:r>
        <w:rPr>
          <w:rFonts w:ascii="PMingLiU" w:cs="PMingLiU" w:eastAsia="PMingLiU" w:hAnsi="PMingLiU"/>
          <w:color w:val="595959"/>
          <w:sz w:val="22"/>
          <w:szCs w:val="22"/>
        </w:rPr>
        <w:t xml:space="preserve">由四個現有備份來源匯入指定子目錄。在來源磁碟中的任何資料被刪除之前，必須先完整驗證轉移結果。iDrive 須於 Hetzner 驗證無誤後才可取消。</w:t>
      </w:r>
    </w:p>
    <w:p>
      <w:pPr>
        <w:spacing w:after="0"/>
      </w:pPr>
      <w:r>
        <w:rPr>
          <w:rFonts w:ascii="Consolas" w:cs="Consolas" w:eastAsia="Consolas" w:hAnsi="Consolas"/>
          <w:sz w:val="20"/>
          <w:szCs w:val="20"/>
        </w:rPr>
        <w:t xml:space="preserve">    RICHARD_DRIVE_BACKUP01</w:t>
      </w:r>
    </w:p>
    <w:p>
      <w:pPr>
        <w:spacing w:after="0"/>
      </w:pPr>
      <w:r>
        <w:rPr>
          <w:rFonts w:ascii="Consolas" w:cs="Consolas" w:eastAsia="Consolas" w:hAnsi="Consolas"/>
          <w:sz w:val="20"/>
          <w:szCs w:val="20"/>
        </w:rPr>
        <w:t xml:space="preserve">    RICHARD_DRIVE_BACKUP02</w:t>
      </w:r>
    </w:p>
    <w:p>
      <w:pPr>
        <w:spacing w:after="0"/>
      </w:pPr>
      <w:r>
        <w:rPr>
          <w:rFonts w:ascii="Consolas" w:cs="Consolas" w:eastAsia="Consolas" w:hAnsi="Consolas"/>
          <w:sz w:val="20"/>
          <w:szCs w:val="20"/>
        </w:rPr>
        <w:t xml:space="preserve">    ANNIE_LAPTOP_BACKUP</w:t>
      </w:r>
    </w:p>
    <w:p>
      <w:pPr>
        <w:spacing w:after="0"/>
      </w:pPr>
      <w:r>
        <w:rPr>
          <w:rFonts w:ascii="Consolas" w:cs="Consolas" w:eastAsia="Consolas" w:hAnsi="Consolas"/>
          <w:sz w:val="20"/>
          <w:szCs w:val="20"/>
        </w:rPr>
        <w:t xml:space="preserve">    RICHARD_LAPTOP_BACKUP</w:t>
      </w:r>
    </w:p>
    <w:p>
      <w:pPr>
        <w:spacing w:after="60"/>
      </w:pPr>
      <w:r>
        <w:rPr>
          <w:b w:val="false"/>
          <w:bCs w:val="false"/>
          <w:sz w:val="22"/>
          <w:szCs w:val="22"/>
        </w:rPr>
        <w:t xml:space="preserve"/>
      </w:r>
    </w:p>
    <w:p>
      <w:pPr>
        <w:pStyle w:val="Heading1"/>
        <w:spacing w:after="140" w:before="320"/>
      </w:pPr>
      <w:r>
        <w:rPr>
          <w:b/>
          <w:bCs/>
          <w:color w:val="1F3864"/>
          <w:sz w:val="26"/>
          <w:szCs w:val="26"/>
        </w:rPr>
        <w:t xml:space="preserve">8. Folder structure</w:t>
      </w:r>
      <w:r>
        <w:rPr>
          <w:rFonts w:ascii="PMingLiU" w:cs="PMingLiU" w:eastAsia="PMingLiU" w:hAnsi="PMingLiU"/>
          <w:b/>
          <w:bCs/>
          <w:color w:val="1F3864"/>
          <w:sz w:val="26"/>
          <w:szCs w:val="26"/>
        </w:rPr>
        <w:t xml:space="preserve">  ／  資料夾結構</w:t>
      </w:r>
    </w:p>
    <w:p>
      <w:pPr>
        <w:spacing w:after="60"/>
      </w:pPr>
      <w:r>
        <w:rPr>
          <w:b w:val="false"/>
          <w:bCs w:val="false"/>
          <w:sz w:val="22"/>
          <w:szCs w:val="22"/>
        </w:rPr>
        <w:t xml:space="preserve">Create the following tree at the top level of Storage Share. The 00_INBOX folder is the single destination for all browser downloads; files are moved from there into the correct project folder afterwards.</w:t>
      </w:r>
    </w:p>
    <w:p>
      <w:pPr>
        <w:spacing w:after="200"/>
      </w:pPr>
      <w:r>
        <w:rPr>
          <w:rFonts w:ascii="PMingLiU" w:cs="PMingLiU" w:eastAsia="PMingLiU" w:hAnsi="PMingLiU"/>
          <w:color w:val="595959"/>
          <w:sz w:val="22"/>
          <w:szCs w:val="22"/>
        </w:rPr>
        <w:t xml:space="preserve">請於 Storage Share 最上層建立下列資料夾結構。00_INBOX 為所有瀏覽器下載檔案的唯一目的地，檔案下載後再由此移至正確的專案資料夾。</w:t>
      </w:r>
    </w:p>
    <w:p>
      <w:pPr>
        <w:spacing w:after="0"/>
      </w:pPr>
      <w:r>
        <w:rPr>
          <w:rFonts w:ascii="Consolas" w:cs="Consolas" w:eastAsia="Consolas" w:hAnsi="Consolas"/>
          <w:sz w:val="20"/>
          <w:szCs w:val="20"/>
        </w:rPr>
        <w:t xml:space="preserve"/>
      </w:r>
    </w:p>
    <w:p>
      <w:pPr>
        <w:spacing w:after="0"/>
      </w:pPr>
      <w:r>
        <w:rPr>
          <w:rFonts w:ascii="Consolas" w:cs="Consolas" w:eastAsia="Consolas" w:hAnsi="Consolas"/>
          <w:sz w:val="20"/>
          <w:szCs w:val="20"/>
        </w:rPr>
        <w:t xml:space="preserve">    00_INBOX</w:t>
      </w:r>
    </w:p>
    <w:p>
      <w:pPr>
        <w:spacing w:after="0"/>
      </w:pPr>
      <w:r>
        <w:rPr>
          <w:rFonts w:ascii="Consolas" w:cs="Consolas" w:eastAsia="Consolas" w:hAnsi="Consolas"/>
          <w:sz w:val="20"/>
          <w:szCs w:val="20"/>
        </w:rPr>
        <w:t xml:space="preserve">    10_TV_SERIES</w:t>
      </w:r>
    </w:p>
    <w:p>
      <w:pPr>
        <w:spacing w:after="0"/>
      </w:pPr>
      <w:r>
        <w:rPr>
          <w:rFonts w:ascii="Consolas" w:cs="Consolas" w:eastAsia="Consolas" w:hAnsi="Consolas"/>
          <w:sz w:val="20"/>
          <w:szCs w:val="20"/>
        </w:rPr>
        <w:t xml:space="preserve">        Season-01</w:t>
      </w:r>
    </w:p>
    <w:p>
      <w:pPr>
        <w:spacing w:after="0"/>
      </w:pPr>
      <w:r>
        <w:rPr>
          <w:rFonts w:ascii="Consolas" w:cs="Consolas" w:eastAsia="Consolas" w:hAnsi="Consolas"/>
          <w:sz w:val="20"/>
          <w:szCs w:val="20"/>
        </w:rPr>
        <w:t xml:space="preserve">            EP-01</w:t>
      </w:r>
    </w:p>
    <w:p>
      <w:pPr>
        <w:spacing w:after="0"/>
      </w:pPr>
      <w:r>
        <w:rPr>
          <w:rFonts w:ascii="Consolas" w:cs="Consolas" w:eastAsia="Consolas" w:hAnsi="Consolas"/>
          <w:sz w:val="20"/>
          <w:szCs w:val="20"/>
        </w:rPr>
        <w:t xml:space="preserve">            EP-02</w:t>
      </w:r>
    </w:p>
    <w:p>
      <w:pPr>
        <w:spacing w:after="0"/>
      </w:pPr>
      <w:r>
        <w:rPr>
          <w:rFonts w:ascii="Consolas" w:cs="Consolas" w:eastAsia="Consolas" w:hAnsi="Consolas"/>
          <w:sz w:val="20"/>
          <w:szCs w:val="20"/>
        </w:rPr>
        <w:t xml:space="preserve">            ...</w:t>
      </w:r>
    </w:p>
    <w:p>
      <w:pPr>
        <w:spacing w:after="0"/>
      </w:pPr>
      <w:r>
        <w:rPr>
          <w:rFonts w:ascii="Consolas" w:cs="Consolas" w:eastAsia="Consolas" w:hAnsi="Consolas"/>
          <w:sz w:val="20"/>
          <w:szCs w:val="20"/>
        </w:rPr>
        <w:t xml:space="preserve">        Music-Rights</w:t>
      </w:r>
    </w:p>
    <w:p>
      <w:pPr>
        <w:spacing w:after="0"/>
      </w:pPr>
      <w:r>
        <w:rPr>
          <w:rFonts w:ascii="Consolas" w:cs="Consolas" w:eastAsia="Consolas" w:hAnsi="Consolas"/>
          <w:sz w:val="20"/>
          <w:szCs w:val="20"/>
        </w:rPr>
        <w:t xml:space="preserve">        Pitch-Materials</w:t>
      </w:r>
    </w:p>
    <w:p>
      <w:pPr>
        <w:spacing w:after="0"/>
      </w:pPr>
      <w:r>
        <w:rPr>
          <w:rFonts w:ascii="Consolas" w:cs="Consolas" w:eastAsia="Consolas" w:hAnsi="Consolas"/>
          <w:sz w:val="20"/>
          <w:szCs w:val="20"/>
        </w:rPr>
        <w:t xml:space="preserve">    20_HTML_PROJECTS</w:t>
      </w:r>
    </w:p>
    <w:p>
      <w:pPr>
        <w:spacing w:after="0"/>
      </w:pPr>
      <w:r>
        <w:rPr>
          <w:rFonts w:ascii="Consolas" w:cs="Consolas" w:eastAsia="Consolas" w:hAnsi="Consolas"/>
          <w:sz w:val="20"/>
          <w:szCs w:val="20"/>
        </w:rPr>
        <w:t xml:space="preserve">    30_LEGAL_RESEARCH</w:t>
      </w:r>
    </w:p>
    <w:p>
      <w:pPr>
        <w:spacing w:after="0"/>
      </w:pPr>
      <w:r>
        <w:rPr>
          <w:rFonts w:ascii="Consolas" w:cs="Consolas" w:eastAsia="Consolas" w:hAnsi="Consolas"/>
          <w:sz w:val="20"/>
          <w:szCs w:val="20"/>
        </w:rPr>
        <w:t xml:space="preserve">    40_ANNIE</w:t>
      </w:r>
    </w:p>
    <w:p>
      <w:pPr>
        <w:spacing w:after="0"/>
      </w:pPr>
      <w:r>
        <w:rPr>
          <w:rFonts w:ascii="Consolas" w:cs="Consolas" w:eastAsia="Consolas" w:hAnsi="Consolas"/>
          <w:sz w:val="20"/>
          <w:szCs w:val="20"/>
        </w:rPr>
        <w:t xml:space="preserve">    50_COMPANY</w:t>
      </w:r>
    </w:p>
    <w:p>
      <w:pPr>
        <w:spacing w:after="0"/>
      </w:pPr>
      <w:r>
        <w:rPr>
          <w:rFonts w:ascii="Consolas" w:cs="Consolas" w:eastAsia="Consolas" w:hAnsi="Consolas"/>
          <w:sz w:val="20"/>
          <w:szCs w:val="20"/>
        </w:rPr>
        <w:t xml:space="preserve">    90_ARCHIVE</w:t>
      </w:r>
    </w:p>
    <w:p>
      <w:pPr>
        <w:spacing w:after="0"/>
      </w:pPr>
      <w:r>
        <w:rPr>
          <w:rFonts w:ascii="Consolas" w:cs="Consolas" w:eastAsia="Consolas" w:hAnsi="Consolas"/>
          <w:sz w:val="20"/>
          <w:szCs w:val="20"/>
        </w:rPr>
        <w:t xml:space="preserve"/>
      </w:r>
    </w:p>
    <w:p>
      <w:pPr>
        <w:spacing w:after="60"/>
      </w:pPr>
      <w:r>
        <w:rPr>
          <w:b w:val="false"/>
          <w:bCs w:val="false"/>
          <w:sz w:val="22"/>
          <w:szCs w:val="22"/>
        </w:rPr>
        <w:t xml:space="preserve">Sub-folders inside each project folder are created as needed and do not require approval. The top-level folders above are fixed and are not to be renamed or reordered.</w:t>
      </w:r>
    </w:p>
    <w:p>
      <w:pPr>
        <w:spacing w:after="200"/>
      </w:pPr>
      <w:r>
        <w:rPr>
          <w:rFonts w:ascii="PMingLiU" w:cs="PMingLiU" w:eastAsia="PMingLiU" w:hAnsi="PMingLiU"/>
          <w:color w:val="595959"/>
          <w:sz w:val="22"/>
          <w:szCs w:val="22"/>
        </w:rPr>
        <w:t xml:space="preserve">各專案資料夾內之子資料夾可視需要自行建立，無須核准。上列最上層資料夾為固定項目，不得更名或變更順序。</w:t>
      </w:r>
    </w:p>
    <w:p>
      <w:pPr>
        <w:pStyle w:val="Heading1"/>
        <w:spacing w:after="140" w:before="320"/>
      </w:pPr>
      <w:r>
        <w:rPr>
          <w:b/>
          <w:bCs/>
          <w:color w:val="1F3864"/>
          <w:sz w:val="26"/>
          <w:szCs w:val="26"/>
        </w:rPr>
        <w:t xml:space="preserve">9. Chrome download setting</w:t>
      </w:r>
      <w:r>
        <w:rPr>
          <w:rFonts w:ascii="PMingLiU" w:cs="PMingLiU" w:eastAsia="PMingLiU" w:hAnsi="PMingLiU"/>
          <w:b/>
          <w:bCs/>
          <w:color w:val="1F3864"/>
          <w:sz w:val="26"/>
          <w:szCs w:val="26"/>
        </w:rPr>
        <w:t xml:space="preserve">  ／  Chrome 下載設定</w:t>
      </w:r>
    </w:p>
    <w:p>
      <w:pPr>
        <w:spacing w:after="60"/>
      </w:pPr>
      <w:r>
        <w:rPr>
          <w:b w:val="false"/>
          <w:bCs w:val="false"/>
          <w:sz w:val="22"/>
          <w:szCs w:val="22"/>
        </w:rPr>
        <w:t xml:space="preserve">Install the Nextcloud sync client so Storage Share appears as an ordinary folder in Windows File Explorer. Then set Chrome's default download location to 00_INBOX inside that synced folder, and turn OFF "Ask where to save each file."</w:t>
      </w:r>
    </w:p>
    <w:p>
      <w:pPr>
        <w:spacing w:after="200"/>
      </w:pPr>
      <w:r>
        <w:rPr>
          <w:rFonts w:ascii="PMingLiU" w:cs="PMingLiU" w:eastAsia="PMingLiU" w:hAnsi="PMingLiU"/>
          <w:color w:val="595959"/>
          <w:sz w:val="22"/>
          <w:szCs w:val="22"/>
        </w:rPr>
        <w:t xml:space="preserve">安裝 Nextcloud 同步用戶端，使 Storage Share 於 Windows 檔案總管中顯示為一般資料夾。隨後將 Chrome 的預設下載位置設為該同步資料夾內的 00_INBOX，並關閉「下載前詢問每個檔案的儲存位置」。</w:t>
      </w:r>
    </w:p>
    <w:p>
      <w:pPr>
        <w:spacing w:after="60"/>
      </w:pPr>
      <w:r>
        <w:rPr>
          <w:b w:val="false"/>
          <w:bCs w:val="false"/>
          <w:sz w:val="22"/>
          <w:szCs w:val="22"/>
        </w:rPr>
        <w:t xml:space="preserve">Effect: every downloaded file lands in one known place and is backed up to Germany automatically, with no file to chase.</w:t>
      </w:r>
    </w:p>
    <w:p>
      <w:pPr>
        <w:spacing w:after="200"/>
      </w:pPr>
      <w:r>
        <w:rPr>
          <w:rFonts w:ascii="PMingLiU" w:cs="PMingLiU" w:eastAsia="PMingLiU" w:hAnsi="PMingLiU"/>
          <w:color w:val="595959"/>
          <w:sz w:val="22"/>
          <w:szCs w:val="22"/>
        </w:rPr>
        <w:t xml:space="preserve">效果：每個下載的檔案都存入同一個已知位置，並自動備份至德國，不需再四處尋找檔案。</w:t>
      </w:r>
    </w:p>
    <w:p>
      <w:pPr>
        <w:pStyle w:val="Heading1"/>
        <w:spacing w:after="140" w:before="320"/>
      </w:pPr>
      <w:r>
        <w:rPr>
          <w:b/>
          <w:bCs/>
          <w:color w:val="1F3864"/>
          <w:sz w:val="26"/>
          <w:szCs w:val="26"/>
        </w:rPr>
        <w:t xml:space="preserve">10. File-naming convention</w:t>
      </w:r>
      <w:r>
        <w:rPr>
          <w:rFonts w:ascii="PMingLiU" w:cs="PMingLiU" w:eastAsia="PMingLiU" w:hAnsi="PMingLiU"/>
          <w:b/>
          <w:bCs/>
          <w:color w:val="1F3864"/>
          <w:sz w:val="26"/>
          <w:szCs w:val="26"/>
        </w:rPr>
        <w:t xml:space="preserve">  ／  檔案命名規則</w:t>
      </w:r>
    </w:p>
    <w:p>
      <w:pPr>
        <w:spacing w:after="60"/>
      </w:pPr>
      <w:r>
        <w:rPr>
          <w:b w:val="false"/>
          <w:bCs w:val="false"/>
          <w:sz w:val="22"/>
          <w:szCs w:val="22"/>
        </w:rPr>
        <w:t xml:space="preserve">Project prefix, description, date, sequence number. Files then sort themselves and can be identified by name alone.</w:t>
      </w:r>
    </w:p>
    <w:p>
      <w:pPr>
        <w:spacing w:after="200"/>
      </w:pPr>
      <w:r>
        <w:rPr>
          <w:rFonts w:ascii="PMingLiU" w:cs="PMingLiU" w:eastAsia="PMingLiU" w:hAnsi="PMingLiU"/>
          <w:color w:val="595959"/>
          <w:sz w:val="22"/>
          <w:szCs w:val="22"/>
        </w:rPr>
        <w:t xml:space="preserve">專案代碼、內容說明、日期、序號。如此檔案可自動排序，並僅憑檔名即可辨識。</w:t>
      </w:r>
    </w:p>
    <w:p>
      <w:pPr>
        <w:spacing w:after="0"/>
      </w:pPr>
      <w:r>
        <w:rPr>
          <w:rFonts w:ascii="Consolas" w:cs="Consolas" w:eastAsia="Consolas" w:hAnsi="Consolas"/>
          <w:sz w:val="20"/>
          <w:szCs w:val="20"/>
        </w:rPr>
        <w:t xml:space="preserve">    TV-EP01-ScriptDraft-0723-01.docx</w:t>
      </w:r>
    </w:p>
    <w:p>
      <w:pPr>
        <w:spacing w:after="0"/>
      </w:pPr>
      <w:r>
        <w:rPr>
          <w:rFonts w:ascii="Consolas" w:cs="Consolas" w:eastAsia="Consolas" w:hAnsi="Consolas"/>
          <w:sz w:val="20"/>
          <w:szCs w:val="20"/>
        </w:rPr>
        <w:t xml:space="preserve">    TV-Music-PostmanVersions-0723-01.pdf</w:t>
      </w:r>
    </w:p>
    <w:p>
      <w:pPr>
        <w:spacing w:after="0"/>
      </w:pPr>
      <w:r>
        <w:rPr>
          <w:rFonts w:ascii="Consolas" w:cs="Consolas" w:eastAsia="Consolas" w:hAnsi="Consolas"/>
          <w:sz w:val="20"/>
          <w:szCs w:val="20"/>
        </w:rPr>
        <w:t xml:space="preserve">    HTML-JobPosting-0723-02.html</w:t>
      </w:r>
    </w:p>
    <w:p>
      <w:pPr>
        <w:spacing w:after="0"/>
      </w:pPr>
      <w:r>
        <w:rPr>
          <w:rFonts w:ascii="Consolas" w:cs="Consolas" w:eastAsia="Consolas" w:hAnsi="Consolas"/>
          <w:sz w:val="20"/>
          <w:szCs w:val="20"/>
        </w:rPr>
        <w:t xml:space="preserve">    HHH-HetznerSpec-v2-0723-01.docx</w:t>
      </w:r>
    </w:p>
    <w:p>
      <w:pPr>
        <w:spacing w:after="0"/>
      </w:pPr>
      <w:r>
        <w:rPr>
          <w:rFonts w:ascii="Consolas" w:cs="Consolas" w:eastAsia="Consolas" w:hAnsi="Consolas"/>
          <w:sz w:val="20"/>
          <w:szCs w:val="20"/>
        </w:rPr>
        <w:t xml:space="preserve"/>
      </w:r>
    </w:p>
    <w:p>
      <w:pPr>
        <w:pStyle w:val="Heading1"/>
        <w:spacing w:after="140" w:before="320"/>
      </w:pPr>
      <w:r>
        <w:rPr>
          <w:b/>
          <w:bCs/>
          <w:color w:val="1F3864"/>
          <w:sz w:val="26"/>
          <w:szCs w:val="26"/>
        </w:rPr>
        <w:t xml:space="preserve">11. Taiwan accounting requirements</w:t>
      </w:r>
      <w:r>
        <w:rPr>
          <w:rFonts w:ascii="PMingLiU" w:cs="PMingLiU" w:eastAsia="PMingLiU" w:hAnsi="PMingLiU"/>
          <w:b/>
          <w:bCs/>
          <w:color w:val="1F3864"/>
          <w:sz w:val="26"/>
          <w:szCs w:val="26"/>
        </w:rPr>
        <w:t xml:space="preserve">  ／  台灣會計要求</w:t>
      </w:r>
    </w:p>
    <w:p>
      <w:pPr>
        <w:spacing w:after="60"/>
      </w:pPr>
      <w:r>
        <w:rPr>
          <w:b w:val="false"/>
          <w:bCs w:val="false"/>
          <w:sz w:val="22"/>
          <w:szCs w:val="22"/>
        </w:rPr>
        <w:t xml:space="preserve">Every expense must be supported by a proper Taiwan invoice (統一發票) issued to 瑞岸國際有限公司, 統一編號 27749985, so that it can be declared on the yearly tax filings. Bookkeepers: Klay and Sabrina, 暐暐記帳士事務所, (02) 8791-1896.</w:t>
      </w:r>
    </w:p>
    <w:p>
      <w:pPr>
        <w:spacing w:after="200"/>
      </w:pPr>
      <w:r>
        <w:rPr>
          <w:rFonts w:ascii="PMingLiU" w:cs="PMingLiU" w:eastAsia="PMingLiU" w:hAnsi="PMingLiU"/>
          <w:color w:val="595959"/>
          <w:sz w:val="22"/>
          <w:szCs w:val="22"/>
        </w:rPr>
        <w:t xml:space="preserve">所有支出均須取得開立予瑞岸國際有限公司（統一編號 27749985）之正式統一發票，方可列入年度稅務申報。記帳士：暐暐記帳士事務所 Klay 與 Sabrina，電話 (02) 8791-1896。</w:t>
      </w:r>
    </w:p>
    <w:p>
      <w:pPr>
        <w:spacing w:after="60"/>
      </w:pPr>
      <w:r>
        <w:rPr>
          <w:b w:val="false"/>
          <w:bCs w:val="false"/>
          <w:sz w:val="22"/>
          <w:szCs w:val="22"/>
        </w:rPr>
        <w:t xml:space="preserve">Character policy: traditional Chinese throughout, with the agreed short list of simplified exceptions.</w:t>
      </w:r>
    </w:p>
    <w:p>
      <w:pPr>
        <w:spacing w:after="200"/>
      </w:pPr>
      <w:r>
        <w:rPr>
          <w:rFonts w:ascii="PMingLiU" w:cs="PMingLiU" w:eastAsia="PMingLiU" w:hAnsi="PMingLiU"/>
          <w:color w:val="595959"/>
          <w:sz w:val="22"/>
          <w:szCs w:val="22"/>
        </w:rPr>
        <w:t xml:space="preserve">字體政策：全文使用正體中文，另依既定之簡化字例外清單處理。</w:t>
      </w:r>
    </w:p>
    <w:p>
      <w:pPr>
        <w:pStyle w:val="Heading1"/>
        <w:spacing w:after="140" w:before="320"/>
      </w:pPr>
      <w:r>
        <w:rPr>
          <w:b/>
          <w:bCs/>
          <w:color w:val="1F3864"/>
          <w:sz w:val="26"/>
          <w:szCs w:val="26"/>
        </w:rPr>
        <w:t xml:space="preserve">12. Managed service only</w:t>
      </w:r>
      <w:r>
        <w:rPr>
          <w:rFonts w:ascii="PMingLiU" w:cs="PMingLiU" w:eastAsia="PMingLiU" w:hAnsi="PMingLiU"/>
          <w:b/>
          <w:bCs/>
          <w:color w:val="1F3864"/>
          <w:sz w:val="26"/>
          <w:szCs w:val="26"/>
        </w:rPr>
        <w:t xml:space="preserve">  ／  僅採用代管服務</w:t>
      </w:r>
    </w:p>
    <w:p>
      <w:pPr>
        <w:spacing w:after="60"/>
      </w:pPr>
      <w:r>
        <w:rPr>
          <w:b/>
          <w:bCs/>
          <w:sz w:val="22"/>
          <w:szCs w:val="22"/>
        </w:rPr>
        <w:t xml:space="preserve">Order the managed Hetzner Storage Share product. Do NOT let anyone build a Nextcloud server by hand on a rented machine. A hand-built server makes this company responsible for security patching, backups and uptime, which we are not staffed to do.</w:t>
      </w:r>
    </w:p>
    <w:p>
      <w:pPr>
        <w:spacing w:after="200"/>
      </w:pPr>
      <w:r>
        <w:rPr>
          <w:rFonts w:ascii="PMingLiU" w:cs="PMingLiU" w:eastAsia="PMingLiU" w:hAnsi="PMingLiU"/>
          <w:color w:val="595959"/>
          <w:sz w:val="22"/>
          <w:szCs w:val="22"/>
        </w:rPr>
        <w:t xml:space="preserve">務必訂購 Hetzner 代管之 Storage Share 產品。切勿由任何人於租用主機上自行架設 Nextcloud 伺服器。自行架設之伺服器將使本公司必須自行負責安全性更新、備份與系統可用性，而本公司並無相應人力。</w:t>
      </w:r>
    </w:p>
    <w:p>
      <w:pPr>
        <w:pStyle w:val="Heading1"/>
        <w:spacing w:after="140" w:before="320"/>
      </w:pPr>
      <w:r>
        <w:rPr>
          <w:b/>
          <w:bCs/>
          <w:color w:val="1F3864"/>
          <w:sz w:val="26"/>
          <w:szCs w:val="26"/>
        </w:rPr>
        <w:t xml:space="preserve">13. Moscow access — test before committing</w:t>
      </w:r>
      <w:r>
        <w:rPr>
          <w:rFonts w:ascii="PMingLiU" w:cs="PMingLiU" w:eastAsia="PMingLiU" w:hAnsi="PMingLiU"/>
          <w:b/>
          <w:bCs/>
          <w:color w:val="1F3864"/>
          <w:sz w:val="26"/>
          <w:szCs w:val="26"/>
        </w:rPr>
        <w:t xml:space="preserve">  ／  莫斯科連線 — 訂購前先行測試</w:t>
      </w:r>
    </w:p>
    <w:p>
      <w:pPr>
        <w:spacing w:after="60"/>
      </w:pPr>
      <w:r>
        <w:rPr>
          <w:b w:val="false"/>
          <w:bCs w:val="false"/>
          <w:sz w:val="22"/>
          <w:szCs w:val="22"/>
        </w:rPr>
        <w:t xml:space="preserve">Two separate issues affect access from Russia, and both must be understood before the NX31 tier is ordered.</w:t>
      </w:r>
    </w:p>
    <w:p>
      <w:pPr>
        <w:spacing w:after="200"/>
      </w:pPr>
      <w:r>
        <w:rPr>
          <w:rFonts w:ascii="PMingLiU" w:cs="PMingLiU" w:eastAsia="PMingLiU" w:hAnsi="PMingLiU"/>
          <w:color w:val="595959"/>
          <w:sz w:val="22"/>
          <w:szCs w:val="22"/>
        </w:rPr>
        <w:t xml:space="preserve">由俄羅斯連線將受兩項各自獨立的問題影響，於訂購 NX31 方案前必須充分理解。</w:t>
      </w:r>
    </w:p>
    <w:p>
      <w:pPr>
        <w:spacing w:after="60"/>
      </w:pPr>
      <w:r>
        <w:rPr>
          <w:b/>
          <w:bCs/>
          <w:sz w:val="22"/>
          <w:szCs w:val="22"/>
        </w:rPr>
        <w:t xml:space="preserve">Contractual. Hetzner does not hold contracts with customers registered at Russian postal addresses. The account must therefore be registered to 瑞岸國際有限公司 at its Taiwan address. No person working from Russia may be the account holder or have a Russian address recorded on the account.</w:t>
      </w:r>
    </w:p>
    <w:p>
      <w:pPr>
        <w:spacing w:after="200"/>
      </w:pPr>
      <w:r>
        <w:rPr>
          <w:rFonts w:ascii="PMingLiU" w:cs="PMingLiU" w:eastAsia="PMingLiU" w:hAnsi="PMingLiU"/>
          <w:color w:val="595959"/>
          <w:sz w:val="22"/>
          <w:szCs w:val="22"/>
        </w:rPr>
        <w:t xml:space="preserve">契約層面：Hetzner 不與登記於俄羅斯郵寄地址之客戶簽訂契約。因此本帳號必須以瑞岸國際有限公司之台灣地址登記。任何在俄羅斯工作之人員均不得擔任帳號持有人，帳號上亦不得登錄俄羅斯地址。</w:t>
      </w:r>
    </w:p>
    <w:p>
      <w:pPr>
        <w:spacing w:after="60"/>
      </w:pPr>
      <w:r>
        <w:rPr>
          <w:b/>
          <w:bCs/>
          <w:sz w:val="22"/>
          <w:szCs w:val="22"/>
        </w:rPr>
        <w:t xml:space="preserve">Network. Russian internet filtering has targeted Western hosting providers, Hetzner among them, and connections to Hetzner address ranges from inside Russia have been disrupted. A VPN is the usual workaround but is unreliable there: Russian authorities have restricted several hundred VPN services and have extended blocking to additional connection protocols. A VPN may be tried, but production must not depend on it.</w:t>
      </w:r>
    </w:p>
    <w:p>
      <w:pPr>
        <w:spacing w:after="200"/>
      </w:pPr>
      <w:r>
        <w:rPr>
          <w:rFonts w:ascii="PMingLiU" w:cs="PMingLiU" w:eastAsia="PMingLiU" w:hAnsi="PMingLiU"/>
          <w:color w:val="595959"/>
          <w:sz w:val="22"/>
          <w:szCs w:val="22"/>
        </w:rPr>
        <w:t xml:space="preserve">網路層面：俄羅斯之網路過濾措施已針對西方主機服務商，其中包括 Hetzner，自俄羅斯境內連往 Hetzner 位址範圍之連線曾遭中斷。VPN 為一般之因應方式，惟於當地並不可靠：俄方已限制數百項 VPN 服務，並將封鎖範圍擴及其他連線協定。可嘗試使用 VPN，但製作作業不得倚賴之。</w:t>
      </w:r>
    </w:p>
    <w:p>
      <w:pPr>
        <w:spacing w:after="60"/>
      </w:pPr>
      <w:r>
        <w:rPr>
          <w:b/>
          <w:bCs/>
          <w:sz w:val="22"/>
          <w:szCs w:val="22"/>
        </w:rPr>
        <w:t xml:space="preserve">Required procedure. Order the entry-level NX11 plan first, which is billed by the hour and can be deleted at any time. Give one login to the person working from Moscow and have them use it in real working conditions for one week. Order NX31 and begin migration only if that test holds. If it does not, a second and independent delivery channel must be arranged for that person before production begins.</w:t>
      </w:r>
    </w:p>
    <w:p>
      <w:pPr>
        <w:spacing w:after="200"/>
      </w:pPr>
      <w:r>
        <w:rPr>
          <w:rFonts w:ascii="PMingLiU" w:cs="PMingLiU" w:eastAsia="PMingLiU" w:hAnsi="PMingLiU"/>
          <w:color w:val="595959"/>
          <w:sz w:val="22"/>
          <w:szCs w:val="22"/>
        </w:rPr>
        <w:t xml:space="preserve">應行程序：先訂購入門級 NX11 方案，該方案按小時計費且可隨時刪除。提供一組帳號予在莫斯科工作之人員，於實際作業條件下使用一週。測試通過後，方可訂購 NX31 並開始資料轉移。若測試未通過，須於製作開始前另行為該人員安排第二條獨立的檔案傳送管道。</w:t>
      </w:r>
    </w:p>
    <w:p>
      <w:pPr>
        <w:pBdr>
          <w:bottom w:val="single" w:color="1F3864" w:sz="6" w:space="6"/>
        </w:pBdr>
        <w:spacing w:after="240"/>
      </w:pPr>
      <w:r>
        <w:t xml:space="preserve"/>
      </w:r>
    </w:p>
    <w:p>
      <w:pPr>
        <w:jc w:val="center"/>
      </w:pPr>
      <w:r>
        <w:rPr>
          <w:i/>
          <w:iCs/>
          <w:color w:val="595959"/>
          <w:sz w:val="18"/>
          <w:szCs w:val="18"/>
        </w:rPr>
        <w:t xml:space="preserve">Prepared for the engineer's house call. No account to be created or activated without Richard W. Hartzell's personal approval.</w:t>
      </w:r>
    </w:p>
    <w:p>
      <w:pPr>
        <w:jc w:val="center"/>
      </w:pPr>
      <w:r>
        <w:rPr>
          <w:rFonts w:ascii="PMingLiU" w:cs="PMingLiU" w:eastAsia="PMingLiU" w:hAnsi="PMingLiU"/>
          <w:i/>
          <w:iCs/>
          <w:color w:val="595959"/>
          <w:sz w:val="18"/>
          <w:szCs w:val="18"/>
        </w:rPr>
        <w:t xml:space="preserve">供工程師到府服務使用。未經何瑞元本人核准，不得建立或啟用任何帳號。</w:t>
      </w:r>
    </w:p>
    <w:sectPr>
      <w:pgSz w:w="12240" w:h="15840"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 Cloud Setup — Hetzner Storage Share — Version 2</dc:title>
  <dc:creator>RECLAIM TAIWAN INTERNATIONAL ENTERPRISE CO., LTD. / 瑞岸國際有限公司</dc:creator>
  <cp:lastModifiedBy>Un-named</cp:lastModifiedBy>
  <cp:revision>1</cp:revision>
  <dcterms:created xsi:type="dcterms:W3CDTF">2026-07-23T00:48:54.938Z</dcterms:created>
  <dcterms:modified xsi:type="dcterms:W3CDTF">2026-07-23T00:48:54.953Z</dcterms:modified>
</cp:coreProperties>
</file>

<file path=docProps/custom.xml><?xml version="1.0" encoding="utf-8"?>
<Properties xmlns="http://schemas.openxmlformats.org/officeDocument/2006/custom-properties" xmlns:vt="http://schemas.openxmlformats.org/officeDocument/2006/docPropsVTypes"/>
</file>