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0AD" w:rsidRDefault="00E11017">
      <w:pPr>
        <w:rPr>
          <w:rFonts w:hint="eastAsia"/>
        </w:rPr>
      </w:pPr>
      <w:r>
        <w:t>B</w:t>
      </w:r>
      <w:r>
        <w:rPr>
          <w:rFonts w:hint="eastAsia"/>
        </w:rPr>
        <w:t>elligerent Occupation</w:t>
      </w:r>
    </w:p>
    <w:p w:rsidR="00E11017" w:rsidRDefault="00E11017">
      <w:pPr>
        <w:rPr>
          <w:rFonts w:hint="eastAsia"/>
        </w:rPr>
      </w:pPr>
    </w:p>
    <w:p w:rsidR="00E11017" w:rsidRPr="00E11017" w:rsidRDefault="00E11017" w:rsidP="00E11017">
      <w:pPr>
        <w:widowControl/>
        <w:shd w:val="clear" w:color="auto" w:fill="FFFFFF"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t>跳至主內容</w:t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begin"/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instrText xml:space="preserve"> HYPERLINK "https://support.google.com/websearch/answer/181196?hl=zh-TW" </w:instrText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separate"/>
      </w:r>
      <w:r w:rsidRPr="00E11017">
        <w:rPr>
          <w:rFonts w:ascii="Arial" w:eastAsia="新細明體" w:hAnsi="Arial" w:cs="Arial"/>
          <w:color w:val="681DA8"/>
          <w:kern w:val="0"/>
          <w:sz w:val="12"/>
          <w:u w:val="single"/>
        </w:rPr>
        <w:t>無障礙說明</w:t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end"/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1558D6"/>
          <w:kern w:val="0"/>
          <w:szCs w:val="24"/>
        </w:rPr>
      </w:pPr>
      <w:r w:rsidRPr="00E11017">
        <w:rPr>
          <w:rFonts w:ascii="新細明體" w:eastAsia="新細明體" w:hAnsi="新細明體" w:cs="新細明體"/>
          <w:kern w:val="0"/>
          <w:szCs w:val="24"/>
        </w:rPr>
        <w:fldChar w:fldCharType="begin"/>
      </w:r>
      <w:r w:rsidRPr="00E11017">
        <w:rPr>
          <w:rFonts w:ascii="新細明體" w:eastAsia="新細明體" w:hAnsi="新細明體" w:cs="新細明體"/>
          <w:kern w:val="0"/>
          <w:szCs w:val="24"/>
        </w:rPr>
        <w:instrText xml:space="preserve"> HYPERLINK "https://www.google.com/webhp?hl=zh-TW&amp;ictx=0&amp;sa=X&amp;ved=0ahUKEwi7376khfCVAxURh68BHRm1AwUQPAgH" </w:instrText>
      </w:r>
      <w:r w:rsidRPr="00E11017">
        <w:rPr>
          <w:rFonts w:ascii="新細明體" w:eastAsia="新細明體" w:hAnsi="新細明體" w:cs="新細明體"/>
          <w:kern w:val="0"/>
          <w:szCs w:val="24"/>
        </w:rPr>
        <w:fldChar w:fldCharType="separate"/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E11017">
        <w:rPr>
          <w:rFonts w:ascii="新細明體" w:eastAsia="新細明體" w:hAnsi="新細明體" w:cs="新細明體"/>
          <w:kern w:val="0"/>
          <w:szCs w:val="24"/>
        </w:rPr>
        <w:fldChar w:fldCharType="end"/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</w:rPr>
        <w:t xml:space="preserve">AI </w:t>
      </w:r>
      <w:r w:rsidRPr="00E11017">
        <w:rPr>
          <w:rFonts w:ascii="Arial" w:eastAsia="新細明體" w:hAnsi="Arial" w:cs="Arial"/>
          <w:color w:val="0A0A0A"/>
          <w:kern w:val="0"/>
          <w:sz w:val="12"/>
        </w:rPr>
        <w:t>模式</w:t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1558D6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begin"/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instrText xml:space="preserve"> HYPERLINK "https://www.google.com/search?q=books+on+belligerent+occupation&amp;sca_esv=9ebf811b5d8bc7ad&amp;aep=10&amp;cs=0&amp;prmd=ivns&amp;sxsrf=APpeQntFxmRU6UIQsGkJ1ti3Aqw4KOyfGQ:1785058546405&amp;source=lnms&amp;sa=X&amp;ved=2ahUKEwi7376khfCVAxURh68BHRm1AwUQ0pQJegQIBhAF" </w:instrText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separate"/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E11017">
        <w:rPr>
          <w:rFonts w:ascii="Arial" w:eastAsia="新細明體" w:hAnsi="Arial" w:cs="Arial"/>
          <w:color w:val="56595E"/>
          <w:kern w:val="0"/>
          <w:sz w:val="12"/>
        </w:rPr>
        <w:t>全部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end"/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1558D6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begin"/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instrText xml:space="preserve"> HYPERLINK "https://www.google.com/search?q=books+on+belligerent+occupation&amp;sca_esv=9ebf811b5d8bc7ad&amp;aep=10&amp;cs=0&amp;sxsrf=APpeQntFxmRU6UIQsGkJ1ti3Aqw4KOyfGQ:1785058546405&amp;udm=28&amp;ved=1t:220175&amp;ictx=111" </w:instrText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separate"/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E11017">
        <w:rPr>
          <w:rFonts w:ascii="Arial" w:eastAsia="新細明體" w:hAnsi="Arial" w:cs="Arial"/>
          <w:color w:val="56595E"/>
          <w:kern w:val="0"/>
          <w:sz w:val="12"/>
        </w:rPr>
        <w:t>購物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end"/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1558D6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begin"/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instrText xml:space="preserve"> HYPERLINK "https://www.google.com/search?q=books+on+belligerent+occupation&amp;sca_esv=9ebf811b5d8bc7ad&amp;aep=10&amp;cs=0&amp;sxsrf=APpeQntFxmRU6UIQsGkJ1ti3Aqw4KOyfGQ:1785058546405&amp;udm=2&amp;sa=X&amp;ved=2ahUKEwi7376khfCVAxURh68BHRm1AwUQtKgLegQIBhAJ" </w:instrText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separate"/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E11017">
        <w:rPr>
          <w:rFonts w:ascii="Arial" w:eastAsia="新細明體" w:hAnsi="Arial" w:cs="Arial"/>
          <w:color w:val="56595E"/>
          <w:kern w:val="0"/>
          <w:sz w:val="12"/>
        </w:rPr>
        <w:t>圖片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end"/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1558D6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begin"/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instrText xml:space="preserve"> HYPERLINK "https://www.google.com/search?q=books+on+belligerent+occupation&amp;sca_esv=9ebf811b5d8bc7ad&amp;aep=10&amp;cs=0&amp;sxsrf=APpeQntFxmRU6UIQsGkJ1ti3Aqw4KOyfGQ:1785058546405&amp;udm=7&amp;sa=X&amp;ved=2ahUKEwi7376khfCVAxURh68BHRm1AwUQtKgLegQIBhAL" </w:instrText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separate"/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E11017">
        <w:rPr>
          <w:rFonts w:ascii="Arial" w:eastAsia="新細明體" w:hAnsi="Arial" w:cs="Arial"/>
          <w:color w:val="56595E"/>
          <w:kern w:val="0"/>
          <w:sz w:val="12"/>
        </w:rPr>
        <w:t>影片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end"/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56595E"/>
          <w:kern w:val="0"/>
          <w:sz w:val="12"/>
        </w:rPr>
        <w:t>更多</w:t>
      </w:r>
    </w:p>
    <w:p w:rsidR="00E11017" w:rsidRPr="00E11017" w:rsidRDefault="00E11017" w:rsidP="00E11017">
      <w:pPr>
        <w:widowControl/>
        <w:spacing w:before="18"/>
        <w:rPr>
          <w:rFonts w:ascii="新細明體" w:eastAsia="新細明體" w:hAnsi="新細明體" w:cs="新細明體"/>
          <w:color w:val="1558D6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begin"/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instrText xml:space="preserve"> HYPERLINK "https://one.google.com/ai?utm_source=search&amp;utm_medium=web&amp;utm_campaign=SEARCH_AIM_HEADER_ENTRYPOINT_ARM_2" \t "_self" </w:instrText>
      </w: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separate"/>
      </w:r>
    </w:p>
    <w:p w:rsidR="00E11017" w:rsidRPr="00E11017" w:rsidRDefault="00E11017" w:rsidP="00E11017">
      <w:pPr>
        <w:widowControl/>
        <w:spacing w:before="18" w:line="141" w:lineRule="atLeast"/>
        <w:jc w:val="center"/>
        <w:textAlignment w:val="center"/>
        <w:rPr>
          <w:rFonts w:ascii="新細明體" w:eastAsia="新細明體" w:hAnsi="新細明體" w:cs="新細明體"/>
          <w:b/>
          <w:bCs/>
          <w:color w:val="001D35"/>
          <w:kern w:val="0"/>
          <w:sz w:val="11"/>
          <w:szCs w:val="11"/>
        </w:rPr>
      </w:pPr>
      <w:r w:rsidRPr="00E11017">
        <w:rPr>
          <w:rFonts w:ascii="Arial" w:eastAsia="新細明體" w:hAnsi="Arial" w:cs="Arial"/>
          <w:b/>
          <w:bCs/>
          <w:color w:val="001D35"/>
          <w:kern w:val="0"/>
          <w:sz w:val="11"/>
        </w:rPr>
        <w:t>升級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fldChar w:fldCharType="end"/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>
        <w:rPr>
          <w:rFonts w:ascii="Arial" w:eastAsia="新細明體" w:hAnsi="Arial" w:cs="Arial"/>
          <w:noProof/>
          <w:color w:val="1558D6"/>
          <w:kern w:val="0"/>
          <w:sz w:val="12"/>
          <w:szCs w:val="12"/>
          <w:bdr w:val="none" w:sz="0" w:space="0" w:color="auto" w:frame="1"/>
        </w:rPr>
        <w:drawing>
          <wp:inline distT="0" distB="0" distL="0" distR="0">
            <wp:extent cx="302895" cy="302895"/>
            <wp:effectExtent l="19050" t="0" r="1905" b="0"/>
            <wp:docPr id="1" name="圖片 1" descr="https://lh3.google.com/u/0/ogw/AF2bZyj8gFXJ8lUOMgLNmoRivEB9Dqa687hWJlLPWEsqjii7nw=s32-c-m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.com/u/0/ogw/AF2bZyj8gFXJ8lUOMgLNmoRivEB9Dqa687hWJlLPWEsqjii7nw=s32-c-m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30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pict>
          <v:rect id="_x0000_i1026" style="width:692.75pt;height:.45pt" o:hrpct="0" o:hralign="center" o:hrstd="t" o:hr="t" fillcolor="#a0a0a0" stroked="f"/>
        </w:pict>
      </w:r>
    </w:p>
    <w:p w:rsidR="00E11017" w:rsidRPr="00E11017" w:rsidRDefault="00E11017" w:rsidP="00E11017">
      <w:pPr>
        <w:widowControl/>
        <w:shd w:val="clear" w:color="auto" w:fill="F0F2F5"/>
        <w:rPr>
          <w:rFonts w:ascii="Arial" w:eastAsia="新細明體" w:hAnsi="Arial" w:cs="Arial"/>
          <w:color w:val="0A0A0A"/>
          <w:kern w:val="0"/>
          <w:sz w:val="12"/>
          <w:szCs w:val="12"/>
        </w:rPr>
      </w:pPr>
      <w:proofErr w:type="gramStart"/>
      <w:r w:rsidRPr="00E11017">
        <w:rPr>
          <w:rFonts w:ascii="Arial" w:eastAsia="新細明體" w:hAnsi="Arial" w:cs="Arial"/>
          <w:color w:val="0A0A0A"/>
          <w:kern w:val="0"/>
          <w:sz w:val="14"/>
        </w:rPr>
        <w:t>books</w:t>
      </w:r>
      <w:proofErr w:type="gramEnd"/>
      <w:r w:rsidRPr="00E11017">
        <w:rPr>
          <w:rFonts w:ascii="Arial" w:eastAsia="新細明體" w:hAnsi="Arial" w:cs="Arial"/>
          <w:color w:val="0A0A0A"/>
          <w:kern w:val="0"/>
          <w:sz w:val="14"/>
        </w:rPr>
        <w:t xml:space="preserve"> on belligerent occupation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The definitive textbook on this subject is </w:t>
      </w:r>
      <w:hyperlink r:id="rId7" w:tgtFrame="_blank" w:history="1">
        <w:proofErr w:type="gramStart"/>
        <w:r w:rsidRPr="00E11017">
          <w:rPr>
            <w:rFonts w:ascii="Arial" w:eastAsia="新細明體" w:hAnsi="Arial" w:cs="Arial"/>
            <w:b/>
            <w:bCs/>
            <w:i/>
            <w:iCs/>
            <w:color w:val="D93025"/>
            <w:spacing w:val="1"/>
            <w:kern w:val="0"/>
            <w:sz w:val="14"/>
            <w:u w:val="single"/>
          </w:rPr>
          <w:t>The</w:t>
        </w:r>
        <w:proofErr w:type="gramEnd"/>
        <w:r w:rsidRPr="00E11017">
          <w:rPr>
            <w:rFonts w:ascii="Arial" w:eastAsia="新細明體" w:hAnsi="Arial" w:cs="Arial"/>
            <w:b/>
            <w:bCs/>
            <w:i/>
            <w:iCs/>
            <w:color w:val="D93025"/>
            <w:spacing w:val="1"/>
            <w:kern w:val="0"/>
            <w:sz w:val="14"/>
            <w:u w:val="single"/>
          </w:rPr>
          <w:t xml:space="preserve"> International Law of Belligerent Occupation</w:t>
        </w:r>
        <w:r w:rsidRPr="00E11017">
          <w:rPr>
            <w:rFonts w:ascii="Arial" w:eastAsia="新細明體" w:hAnsi="Arial" w:cs="Arial"/>
            <w:b/>
            <w:bCs/>
            <w:color w:val="1558D6"/>
            <w:spacing w:val="1"/>
            <w:kern w:val="0"/>
            <w:sz w:val="14"/>
            <w:u w:val="single"/>
          </w:rPr>
          <w:t> by Yoram Dinstein</w:t>
        </w:r>
      </w:hyperlink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. Published by 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Cambridge University Press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, it serves as the foundational text for researchers and legal scholars examining the rights, restrictions, and obligations of occupying powers under international humanitarian law.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56595E"/>
          <w:spacing w:val="1"/>
          <w:kern w:val="0"/>
          <w:sz w:val="10"/>
        </w:rPr>
        <w:t>Cambridge University Press &amp; Assessment +4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Depending on whether you need a broad overview of international humanitarian law (IHL) or a deep dive into specific legal and political case studies, here are the most highly regarded books on the law of occupation: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Core Legal Frameworks &amp; Textbooks</w:t>
      </w:r>
    </w:p>
    <w:p w:rsidR="00E11017" w:rsidRPr="00E11017" w:rsidRDefault="00E11017" w:rsidP="00E11017">
      <w:pPr>
        <w:widowControl/>
        <w:numPr>
          <w:ilvl w:val="0"/>
          <w:numId w:val="1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The International Law of Belligerent Occupation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(by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Yoram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Dinstein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):</w:t>
      </w:r>
    </w:p>
    <w:p w:rsidR="00E11017" w:rsidRPr="00E11017" w:rsidRDefault="00E11017" w:rsidP="00E11017">
      <w:pPr>
        <w:widowControl/>
        <w:numPr>
          <w:ilvl w:val="1"/>
          <w:numId w:val="1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This core textbook provides an exhaustive look at the customary law stemming from </w:t>
      </w:r>
      <w:proofErr w:type="gram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the</w:t>
      </w:r>
      <w:proofErr w:type="gram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Hague and Geneva Conventions.</w:t>
      </w:r>
    </w:p>
    <w:p w:rsidR="00E11017" w:rsidRPr="00E11017" w:rsidRDefault="00E11017" w:rsidP="00E11017">
      <w:pPr>
        <w:widowControl/>
        <w:numPr>
          <w:ilvl w:val="1"/>
          <w:numId w:val="1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It explores controversial thresholds such as when an occupation officially starts, how it terminates, and how IHL intersects with modern human rights law.</w:t>
      </w:r>
    </w:p>
    <w:p w:rsidR="00E11017" w:rsidRPr="00E11017" w:rsidRDefault="00E11017" w:rsidP="00E11017">
      <w:pPr>
        <w:widowControl/>
        <w:numPr>
          <w:ilvl w:val="1"/>
          <w:numId w:val="1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lastRenderedPageBreak/>
        <w:t>The text heavily anchors its theoretical points in real-world examples, primarily pulling from the decades-long Israeli occupation, as well as situations in Iraq, the former Yugoslavia, and the Congo. </w:t>
      </w:r>
    </w:p>
    <w:p w:rsidR="00E11017" w:rsidRPr="00E11017" w:rsidRDefault="00E11017" w:rsidP="00E11017">
      <w:pPr>
        <w:widowControl/>
        <w:numPr>
          <w:ilvl w:val="0"/>
          <w:numId w:val="1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The International Law of Occupation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(by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Eyal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Benvenisti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):</w:t>
      </w:r>
    </w:p>
    <w:p w:rsidR="00E11017" w:rsidRPr="00E11017" w:rsidRDefault="00E11017" w:rsidP="00E11017">
      <w:pPr>
        <w:widowControl/>
        <w:numPr>
          <w:ilvl w:val="1"/>
          <w:numId w:val="1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Published by </w:t>
      </w:r>
      <w:hyperlink r:id="rId8" w:tgtFrame="_blank" w:history="1">
        <w:r w:rsidRPr="00E11017">
          <w:rPr>
            <w:rFonts w:ascii="Arial" w:eastAsia="新細明體" w:hAnsi="Arial" w:cs="Arial"/>
            <w:b/>
            <w:bCs/>
            <w:color w:val="1558D6"/>
            <w:spacing w:val="1"/>
            <w:kern w:val="0"/>
            <w:sz w:val="14"/>
            <w:u w:val="single"/>
          </w:rPr>
          <w:t>Princeton University Press</w:t>
        </w:r>
      </w:hyperlink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, this book challenges traditional 19th-century frameworks by adapting them to contemporary environments.</w:t>
      </w:r>
    </w:p>
    <w:p w:rsidR="00E11017" w:rsidRPr="00E11017" w:rsidRDefault="00E11017" w:rsidP="00E11017">
      <w:pPr>
        <w:widowControl/>
        <w:numPr>
          <w:ilvl w:val="1"/>
          <w:numId w:val="1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It formulates a modern theory of governance for foreign territories grabbed via the use of force, assessing the reactions of ousted governments and international institutions. </w:t>
      </w:r>
    </w:p>
    <w:p w:rsidR="00E11017" w:rsidRPr="00E11017" w:rsidRDefault="00E11017" w:rsidP="00E11017">
      <w:pPr>
        <w:widowControl/>
        <w:numPr>
          <w:ilvl w:val="0"/>
          <w:numId w:val="1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Occupation in International Law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(by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Eliav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Lieblich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and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Eyal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Benvenisti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):</w:t>
      </w:r>
    </w:p>
    <w:p w:rsidR="00E11017" w:rsidRPr="00E11017" w:rsidRDefault="00E11017" w:rsidP="00E11017">
      <w:pPr>
        <w:widowControl/>
        <w:numPr>
          <w:ilvl w:val="1"/>
          <w:numId w:val="1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Part of the </w:t>
      </w:r>
      <w:hyperlink r:id="rId9" w:tgtFrame="_blank" w:history="1">
        <w:r w:rsidRPr="00E11017">
          <w:rPr>
            <w:rFonts w:ascii="Arial" w:eastAsia="新細明體" w:hAnsi="Arial" w:cs="Arial"/>
            <w:b/>
            <w:bCs/>
            <w:color w:val="1558D6"/>
            <w:spacing w:val="1"/>
            <w:kern w:val="0"/>
            <w:sz w:val="14"/>
            <w:u w:val="single"/>
          </w:rPr>
          <w:t>Oxford University Press</w:t>
        </w:r>
      </w:hyperlink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Elements of International Law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series.</w:t>
      </w:r>
    </w:p>
    <w:p w:rsidR="00E11017" w:rsidRPr="00E11017" w:rsidRDefault="00E11017" w:rsidP="00E11017">
      <w:pPr>
        <w:widowControl/>
        <w:numPr>
          <w:ilvl w:val="1"/>
          <w:numId w:val="1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It offers a highly accessible introduction to the core legal dilemmas, making it excellent for advanced students and practitioners new to the subfield. 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Case Studies &amp; Prolonged Occupations</w:t>
      </w:r>
    </w:p>
    <w:p w:rsidR="00E11017" w:rsidRPr="00E11017" w:rsidRDefault="00E11017" w:rsidP="00E11017">
      <w:pPr>
        <w:widowControl/>
        <w:numPr>
          <w:ilvl w:val="0"/>
          <w:numId w:val="2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The Occupation of Justice: The Supreme Court of Israel and the Occupied Territories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(by David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Kretzmer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and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Yaël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Ronen):</w:t>
      </w:r>
    </w:p>
    <w:p w:rsidR="00E11017" w:rsidRPr="00E11017" w:rsidRDefault="00E11017" w:rsidP="00E11017">
      <w:pPr>
        <w:widowControl/>
        <w:numPr>
          <w:ilvl w:val="1"/>
          <w:numId w:val="2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Available via </w:t>
      </w:r>
      <w:hyperlink r:id="rId10" w:tgtFrame="_blank" w:history="1">
        <w:r w:rsidRPr="00E11017">
          <w:rPr>
            <w:rFonts w:ascii="Arial" w:eastAsia="新細明體" w:hAnsi="Arial" w:cs="Arial"/>
            <w:b/>
            <w:bCs/>
            <w:color w:val="1558D6"/>
            <w:spacing w:val="1"/>
            <w:kern w:val="0"/>
            <w:sz w:val="14"/>
            <w:u w:val="single"/>
          </w:rPr>
          <w:t>Oxford Academic</w:t>
        </w:r>
      </w:hyperlink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, this specialized text critiques how the Israeli Supreme Court interprets the international law of belligerent occupation.</w:t>
      </w:r>
    </w:p>
    <w:p w:rsidR="00E11017" w:rsidRPr="00E11017" w:rsidRDefault="00E11017" w:rsidP="00E11017">
      <w:pPr>
        <w:widowControl/>
        <w:numPr>
          <w:ilvl w:val="1"/>
          <w:numId w:val="2"/>
        </w:numPr>
        <w:spacing w:line="212" w:lineRule="atLeast"/>
        <w:ind w:left="0"/>
        <w:rPr>
          <w:rFonts w:ascii="新細明體" w:eastAsia="新細明體" w:hAnsi="新細明體" w:cs="新細明體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It analyzes the domestic legal arguments surrounding civilian settlements, land use, and security measures like curfews and house demolitions. 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56595E"/>
          <w:spacing w:val="1"/>
          <w:kern w:val="0"/>
          <w:sz w:val="10"/>
        </w:rPr>
        <w:t>Oxford Academic +4</w:t>
      </w:r>
    </w:p>
    <w:p w:rsidR="00E11017" w:rsidRPr="00E11017" w:rsidRDefault="00E11017" w:rsidP="00E11017">
      <w:pPr>
        <w:widowControl/>
        <w:numPr>
          <w:ilvl w:val="0"/>
          <w:numId w:val="2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Prolonged Occupation and International Law: Israel and Palestine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(Edited by Nada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Kiswanson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and Susan Power):</w:t>
      </w:r>
    </w:p>
    <w:p w:rsidR="00E11017" w:rsidRPr="00E11017" w:rsidRDefault="00E11017" w:rsidP="00E11017">
      <w:pPr>
        <w:widowControl/>
        <w:numPr>
          <w:ilvl w:val="1"/>
          <w:numId w:val="2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Published by </w:t>
      </w:r>
      <w:hyperlink r:id="rId11" w:tgtFrame="_blank" w:history="1">
        <w:r w:rsidRPr="00E11017">
          <w:rPr>
            <w:rFonts w:ascii="Arial" w:eastAsia="新細明體" w:hAnsi="Arial" w:cs="Arial"/>
            <w:b/>
            <w:bCs/>
            <w:color w:val="1558D6"/>
            <w:spacing w:val="1"/>
            <w:kern w:val="0"/>
            <w:sz w:val="14"/>
            <w:u w:val="single"/>
          </w:rPr>
          <w:t>Brill</w:t>
        </w:r>
      </w:hyperlink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, this volume gathers insights from several global legal scholars.</w:t>
      </w:r>
    </w:p>
    <w:p w:rsidR="00E11017" w:rsidRPr="00E11017" w:rsidRDefault="00E11017" w:rsidP="00E11017">
      <w:pPr>
        <w:widowControl/>
        <w:numPr>
          <w:ilvl w:val="1"/>
          <w:numId w:val="2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It focuses strictly on the legal threshold where a temporary belligerent occupation transforms into a de facto permanent annexation. </w:t>
      </w:r>
    </w:p>
    <w:p w:rsidR="00E11017" w:rsidRPr="00E11017" w:rsidRDefault="00E11017" w:rsidP="00E11017">
      <w:pPr>
        <w:widowControl/>
        <w:numPr>
          <w:ilvl w:val="0"/>
          <w:numId w:val="2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Revisiting the Law of Occupation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(by Hanne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Cuyckens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):</w:t>
      </w:r>
    </w:p>
    <w:p w:rsidR="00E11017" w:rsidRPr="00E11017" w:rsidRDefault="00E11017" w:rsidP="00E11017">
      <w:pPr>
        <w:widowControl/>
        <w:numPr>
          <w:ilvl w:val="1"/>
          <w:numId w:val="2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This monograph tackles the limits of original treaty laws when applied to long-standing conflicts like Iraq or the Palestinian Territories.</w:t>
      </w:r>
    </w:p>
    <w:p w:rsidR="00E11017" w:rsidRPr="00E11017" w:rsidRDefault="00E11017" w:rsidP="00E11017">
      <w:pPr>
        <w:widowControl/>
        <w:numPr>
          <w:ilvl w:val="1"/>
          <w:numId w:val="2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It argues for flexible treaty interpretations and uses International Human Rights law to plug gaps where traditional martial laws fall short. 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Specialized &amp; Historical Perspectives</w:t>
      </w:r>
    </w:p>
    <w:p w:rsidR="00E11017" w:rsidRPr="00E11017" w:rsidRDefault="00E11017" w:rsidP="00E11017">
      <w:pPr>
        <w:widowControl/>
        <w:numPr>
          <w:ilvl w:val="0"/>
          <w:numId w:val="3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The Legality of Economic Activities in Occupied Territories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(Edited by Antoine Duval and Eva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Kassoti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):</w:t>
      </w:r>
    </w:p>
    <w:p w:rsidR="00E11017" w:rsidRPr="00E11017" w:rsidRDefault="00E11017" w:rsidP="00E11017">
      <w:pPr>
        <w:widowControl/>
        <w:numPr>
          <w:ilvl w:val="1"/>
          <w:numId w:val="3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A comprehensive legal anthology published by 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fldChar w:fldCharType="begin"/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instrText xml:space="preserve"> HYPERLINK "https://books.google.com/books/about/The_Legality_of_Economic_Activities_in_O.html?id=Z57qDwAAQBAJ" \t "_blank" </w:instrTex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fldChar w:fldCharType="separate"/>
      </w:r>
      <w:r w:rsidRPr="00E11017">
        <w:rPr>
          <w:rFonts w:ascii="Arial" w:eastAsia="新細明體" w:hAnsi="Arial" w:cs="Arial"/>
          <w:b/>
          <w:bCs/>
          <w:color w:val="1558D6"/>
          <w:spacing w:val="1"/>
          <w:kern w:val="0"/>
          <w:sz w:val="14"/>
          <w:u w:val="single"/>
        </w:rPr>
        <w:t>Routledge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fldChar w:fldCharType="end"/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.</w:t>
      </w:r>
    </w:p>
    <w:p w:rsidR="00E11017" w:rsidRPr="00E11017" w:rsidRDefault="00E11017" w:rsidP="00E11017">
      <w:pPr>
        <w:widowControl/>
        <w:numPr>
          <w:ilvl w:val="1"/>
          <w:numId w:val="3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It breaks down the commercial dimensions of occupation, investigating third-party state trading obligations, resource exploitation, and business-related human rights duties. </w:t>
      </w:r>
    </w:p>
    <w:p w:rsidR="00E11017" w:rsidRPr="00E11017" w:rsidRDefault="00E11017" w:rsidP="00E11017">
      <w:pPr>
        <w:widowControl/>
        <w:numPr>
          <w:ilvl w:val="0"/>
          <w:numId w:val="3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Occupation and Control in International Humanitarian Law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(by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Natia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Kalandarishvili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-Mueller):</w:t>
      </w:r>
    </w:p>
    <w:p w:rsidR="00E11017" w:rsidRPr="00E11017" w:rsidRDefault="00E11017" w:rsidP="00E11017">
      <w:pPr>
        <w:widowControl/>
        <w:numPr>
          <w:ilvl w:val="1"/>
          <w:numId w:val="3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An in-depth look at how the physical "notion of control" is evolving.</w:t>
      </w:r>
    </w:p>
    <w:p w:rsidR="00E11017" w:rsidRPr="00E11017" w:rsidRDefault="00E11017" w:rsidP="00E11017">
      <w:pPr>
        <w:widowControl/>
        <w:numPr>
          <w:ilvl w:val="1"/>
          <w:numId w:val="3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It provides legal anatomy on modern "occupations by proxy" where a state exercises military control indirectly through a local militia or puppet government. </w:t>
      </w:r>
    </w:p>
    <w:p w:rsidR="00E11017" w:rsidRPr="00E11017" w:rsidRDefault="00E11017" w:rsidP="00E11017">
      <w:pPr>
        <w:widowControl/>
        <w:numPr>
          <w:ilvl w:val="0"/>
          <w:numId w:val="3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A History of Military Occupation from 1792 To 1914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(by Peter M. R.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Stirk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):</w:t>
      </w:r>
    </w:p>
    <w:p w:rsidR="00E11017" w:rsidRPr="00E11017" w:rsidRDefault="00E11017" w:rsidP="00E11017">
      <w:pPr>
        <w:widowControl/>
        <w:numPr>
          <w:ilvl w:val="1"/>
          <w:numId w:val="3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For readers looking for historical evolution, this </w:t>
      </w:r>
      <w:hyperlink r:id="rId12" w:tgtFrame="_blank" w:history="1">
        <w:r w:rsidRPr="00E11017">
          <w:rPr>
            <w:rFonts w:ascii="Arial" w:eastAsia="新細明體" w:hAnsi="Arial" w:cs="Arial"/>
            <w:b/>
            <w:bCs/>
            <w:color w:val="1558D6"/>
            <w:spacing w:val="1"/>
            <w:kern w:val="0"/>
            <w:sz w:val="14"/>
            <w:u w:val="single"/>
          </w:rPr>
          <w:t>Edinburgh University Press</w:t>
        </w:r>
      </w:hyperlink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text charts how the legal concept of occupation first separated itself from conquest during the long 19th century. </w:t>
      </w:r>
    </w:p>
    <w:p w:rsidR="00E11017" w:rsidRPr="00E11017" w:rsidRDefault="00E11017" w:rsidP="00E11017">
      <w:pPr>
        <w:widowControl/>
        <w:spacing w:line="212" w:lineRule="atLeast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To help tailor this list, are you looking for an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introductory textbook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for coursework, a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historical account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of past military campaigns, or books focusing on a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specific conflict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(such as Iraq or the Middle East)?</w:t>
      </w:r>
    </w:p>
    <w:p w:rsidR="00E11017" w:rsidRPr="00E11017" w:rsidRDefault="00E11017" w:rsidP="00E11017">
      <w:pPr>
        <w:widowControl/>
        <w:spacing w:line="177" w:lineRule="atLeast"/>
        <w:rPr>
          <w:rFonts w:ascii="新細明體" w:eastAsia="新細明體" w:hAnsi="新細明體" w:cs="新細明體"/>
          <w:b/>
          <w:bCs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  <w:szCs w:val="12"/>
        </w:rPr>
        <w:lastRenderedPageBreak/>
        <w:t xml:space="preserve">AI </w:t>
      </w:r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  <w:szCs w:val="12"/>
        </w:rPr>
        <w:t>回覆可能有誤。如需法律建議，請諮詢專業人士。</w:t>
      </w:r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  <w:szCs w:val="12"/>
        </w:rPr>
        <w:t> </w:t>
      </w:r>
      <w:hyperlink r:id="rId13" w:history="1">
        <w:r w:rsidRPr="00E11017">
          <w:rPr>
            <w:rFonts w:ascii="Arial" w:eastAsia="新細明體" w:hAnsi="Arial" w:cs="Arial"/>
            <w:b/>
            <w:bCs/>
            <w:color w:val="56595E"/>
            <w:kern w:val="0"/>
            <w:sz w:val="12"/>
            <w:u w:val="single"/>
          </w:rPr>
          <w:t>瞭解詳情</w:t>
        </w:r>
      </w:hyperlink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</w:rPr>
        <w:t xml:space="preserve">22 </w:t>
      </w:r>
      <w:proofErr w:type="gramStart"/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</w:rPr>
        <w:t>個</w:t>
      </w:r>
      <w:proofErr w:type="gramEnd"/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</w:rPr>
        <w:t>網站</w:t>
      </w:r>
    </w:p>
    <w:p w:rsidR="00E11017" w:rsidRPr="00E11017" w:rsidRDefault="00E11017" w:rsidP="00E11017">
      <w:pPr>
        <w:widowControl/>
        <w:numPr>
          <w:ilvl w:val="0"/>
          <w:numId w:val="4"/>
        </w:numPr>
        <w:ind w:left="0"/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t>The International Law of Belligerent Occupation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1"/>
          <w:szCs w:val="11"/>
        </w:rPr>
      </w:pPr>
      <w:proofErr w:type="spellStart"/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Yoram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56595E"/>
          <w:kern w:val="0"/>
          <w:sz w:val="11"/>
        </w:rPr>
        <w:t>Dinstein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>, Tel-Aviv University.</w:t>
      </w:r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</w:t>
      </w:r>
      <w:proofErr w:type="spellStart"/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Yoram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56595E"/>
          <w:kern w:val="0"/>
          <w:sz w:val="11"/>
        </w:rPr>
        <w:t>Dinstein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>, Tel-Aviv University.</w:t>
      </w:r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Publication date: 08 March 2019. ISBN: 9781108671477. DO...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4"/>
          <w:szCs w:val="14"/>
        </w:rPr>
      </w:pPr>
    </w:p>
    <w:p w:rsidR="00E11017" w:rsidRPr="00E11017" w:rsidRDefault="00E11017" w:rsidP="00E11017">
      <w:pPr>
        <w:widowControl/>
        <w:shd w:val="clear" w:color="auto" w:fill="FFFFFF"/>
        <w:spacing w:line="141" w:lineRule="atLeast"/>
        <w:textAlignment w:val="center"/>
        <w:rPr>
          <w:rFonts w:ascii="Arial" w:eastAsia="新細明體" w:hAnsi="Arial" w:cs="Arial"/>
          <w:color w:val="0A0A0A"/>
          <w:kern w:val="0"/>
          <w:sz w:val="14"/>
          <w:szCs w:val="14"/>
        </w:rPr>
      </w:pP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1"/>
        </w:rPr>
        <w:t>Cambridge University Press &amp; Assessment</w:t>
      </w:r>
    </w:p>
    <w:p w:rsidR="00E11017" w:rsidRPr="00E11017" w:rsidRDefault="00E11017" w:rsidP="00E11017">
      <w:pPr>
        <w:widowControl/>
        <w:numPr>
          <w:ilvl w:val="0"/>
          <w:numId w:val="4"/>
        </w:numPr>
        <w:ind w:left="0"/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t>4 International Law of Belligerent Occupation - Oxford Academic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1"/>
          <w:szCs w:val="11"/>
        </w:rPr>
      </w:pPr>
      <w:r w:rsidRPr="00E11017">
        <w:rPr>
          <w:rFonts w:ascii="Arial" w:eastAsia="新細明體" w:hAnsi="Arial" w:cs="Arial"/>
          <w:color w:val="56595E"/>
          <w:kern w:val="0"/>
          <w:sz w:val="11"/>
        </w:rPr>
        <w:t>Keywords: international law, belligerent occupation, customary international law, Hague Regulations, Geneva Convention, occupied t...</w:t>
      </w:r>
    </w:p>
    <w:p w:rsidR="00E11017" w:rsidRPr="00E11017" w:rsidRDefault="00E11017" w:rsidP="00E11017">
      <w:pPr>
        <w:widowControl/>
        <w:shd w:val="clear" w:color="auto" w:fill="FFFFFF"/>
        <w:spacing w:line="141" w:lineRule="atLeast"/>
        <w:textAlignment w:val="center"/>
        <w:rPr>
          <w:rFonts w:ascii="Arial" w:eastAsia="新細明體" w:hAnsi="Arial" w:cs="Arial"/>
          <w:color w:val="0A0A0A"/>
          <w:kern w:val="0"/>
          <w:sz w:val="14"/>
          <w:szCs w:val="14"/>
        </w:rPr>
      </w:pP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1"/>
        </w:rPr>
        <w:t>Oxford Academic</w:t>
      </w:r>
    </w:p>
    <w:p w:rsidR="00E11017" w:rsidRPr="00E11017" w:rsidRDefault="00E11017" w:rsidP="00E11017">
      <w:pPr>
        <w:widowControl/>
        <w:numPr>
          <w:ilvl w:val="0"/>
          <w:numId w:val="4"/>
        </w:numPr>
        <w:ind w:left="0"/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t>The International Law of Belligerent Occupation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1"/>
          <w:szCs w:val="11"/>
        </w:rPr>
      </w:pPr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The customary law of belligerent occupation goes back to </w:t>
      </w:r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the</w:t>
      </w:r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Hague and Geneva Conventions. Recent instances of such occupation </w:t>
      </w:r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inc</w:t>
      </w:r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>...</w:t>
      </w:r>
    </w:p>
    <w:p w:rsidR="00E11017" w:rsidRPr="00E11017" w:rsidRDefault="00E11017" w:rsidP="00E11017">
      <w:pPr>
        <w:widowControl/>
        <w:shd w:val="clear" w:color="auto" w:fill="FFFFFF"/>
        <w:spacing w:line="141" w:lineRule="atLeast"/>
        <w:textAlignment w:val="center"/>
        <w:rPr>
          <w:rFonts w:ascii="Arial" w:eastAsia="新細明體" w:hAnsi="Arial" w:cs="Arial"/>
          <w:color w:val="0A0A0A"/>
          <w:kern w:val="0"/>
          <w:sz w:val="14"/>
          <w:szCs w:val="14"/>
        </w:rPr>
      </w:pP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1"/>
        </w:rPr>
        <w:t>The International Law of Belligerent Occupation</w:t>
      </w:r>
    </w:p>
    <w:p w:rsidR="00E11017" w:rsidRPr="00E11017" w:rsidRDefault="00E11017" w:rsidP="00E11017">
      <w:pPr>
        <w:widowControl/>
        <w:shd w:val="clear" w:color="auto" w:fill="E9EBF0"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</w:rPr>
        <w:t>顯示全部</w:t>
      </w:r>
    </w:p>
    <w:p w:rsidR="00E11017" w:rsidRPr="00E11017" w:rsidRDefault="00E11017" w:rsidP="00E11017">
      <w:pPr>
        <w:widowControl/>
        <w:shd w:val="clear" w:color="auto" w:fill="F0F2F5"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4"/>
        </w:rPr>
        <w:t>Can you give me this information as a doc so I can save it to my disc?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I cannot generate a file download link directly, but I have formatted all the book details below as a clean, standardized Markdown document.</w:t>
      </w:r>
    </w:p>
    <w:p w:rsidR="00E11017" w:rsidRPr="00E11017" w:rsidRDefault="00E11017" w:rsidP="00E11017">
      <w:pPr>
        <w:widowControl/>
        <w:spacing w:line="212" w:lineRule="atLeast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 xml:space="preserve">You can easily save this to your disk by copying the text below, pasting it into any text editor (like Notepad or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TextEdit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 xml:space="preserve">), and saving the file with </w:t>
      </w:r>
      <w:proofErr w:type="gram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a</w:t>
      </w:r>
      <w:proofErr w:type="gram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</w:t>
      </w:r>
      <w:r w:rsidRPr="00E11017">
        <w:rPr>
          <w:rFonts w:ascii="細明體" w:eastAsia="細明體" w:hAnsi="細明體" w:cs="細明體"/>
          <w:b/>
          <w:bCs/>
          <w:color w:val="0A0A0A"/>
          <w:spacing w:val="1"/>
          <w:kern w:val="0"/>
          <w:sz w:val="12"/>
        </w:rPr>
        <w:t>.</w:t>
      </w:r>
      <w:proofErr w:type="spellStart"/>
      <w:r w:rsidRPr="00E11017">
        <w:rPr>
          <w:rFonts w:ascii="細明體" w:eastAsia="細明體" w:hAnsi="細明體" w:cs="細明體"/>
          <w:b/>
          <w:bCs/>
          <w:color w:val="0A0A0A"/>
          <w:spacing w:val="1"/>
          <w:kern w:val="0"/>
          <w:sz w:val="12"/>
        </w:rPr>
        <w:t>md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extension (e.g., </w:t>
      </w:r>
      <w:r w:rsidRPr="00E11017">
        <w:rPr>
          <w:rFonts w:ascii="細明體" w:eastAsia="細明體" w:hAnsi="細明體" w:cs="細明體"/>
          <w:color w:val="0A0A0A"/>
          <w:spacing w:val="1"/>
          <w:kern w:val="0"/>
          <w:sz w:val="12"/>
        </w:rPr>
        <w:t>Belligerent_Occupation_Books.md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). Alternatively, you can paste it directly into Microsoft Word or Google Docs.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pict>
          <v:rect id="_x0000_i1027" style="width:0;height:.45pt" o:hralign="center" o:hrstd="t" o:hr="t" fillcolor="#a0a0a0" stroked="f"/>
        </w:pict>
      </w:r>
    </w:p>
    <w:p w:rsidR="00E11017" w:rsidRPr="00E11017" w:rsidRDefault="00E11017" w:rsidP="00E11017">
      <w:pPr>
        <w:widowControl/>
        <w:shd w:val="clear" w:color="auto" w:fill="F0F2F5"/>
        <w:spacing w:line="230" w:lineRule="atLeast"/>
        <w:rPr>
          <w:rFonts w:ascii="Arial" w:eastAsia="新細明體" w:hAnsi="Arial" w:cs="Arial"/>
          <w:color w:val="0A0A0A"/>
          <w:spacing w:val="1"/>
          <w:kern w:val="0"/>
          <w:sz w:val="18"/>
          <w:szCs w:val="18"/>
        </w:rPr>
      </w:pPr>
      <w:proofErr w:type="gramStart"/>
      <w:r w:rsidRPr="00E11017">
        <w:rPr>
          <w:rFonts w:ascii="Arial" w:eastAsia="新細明體" w:hAnsi="Arial" w:cs="Arial"/>
          <w:color w:val="0A0A0A"/>
          <w:spacing w:val="1"/>
          <w:kern w:val="0"/>
          <w:sz w:val="18"/>
          <w:szCs w:val="18"/>
        </w:rPr>
        <w:t>markdown</w:t>
      </w:r>
      <w:proofErr w:type="gramEnd"/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 Bibliography: International Law of Belligerent Occupation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 Core Legal Frameworks &amp; Textbooks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1. The International Law of Belligerent Occupation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**Author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Yoram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Dinstein</w:t>
      </w:r>
      <w:proofErr w:type="spellEnd"/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**Publisher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Cambridge University Press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**Overview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This is the definitive textbook on the subject. It serves as a foundational text for researchers and legal scholars examining the rights, restrictions, and obligations of occupying powers under international humanitarian law (IHL).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**Key Topics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Customary law from the Hague and Geneva Conventions; thresholds for the start and termination of occupation; how IHL intersects with modern human rights law.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lastRenderedPageBreak/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**Case Studies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Draws heavily on real-world examples, primarily pulling from the decades-long Israeli occupation, as well as situations in Iraq, the former Yugoslavia, and the Congo.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2. The International Law of Occupation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**Author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Eyal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Benvenisti</w:t>
      </w:r>
      <w:proofErr w:type="spellEnd"/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**Publisher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Princeton University Press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**Overview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This text challenges traditional 19th-century frameworks by adapting them to contemporary environments and modern geopolitical realities.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**Key Topics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Formulates a modern theory of governance for foreign territories seized via the use of force; assesses the structural reactions of ousted governments and international institutions.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3. Occupation in International Law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**Authors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Eliav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Lieblich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and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Eyal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Benvenisti</w:t>
      </w:r>
      <w:proofErr w:type="spellEnd"/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**Publisher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Oxford University Press (Elements of International Law series)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**Overview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A highly accessible introduction to core legal dilemmas within the subfield.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**Key Topics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Fundamental legal doctrines, modern challenges to the definition of control, and basic responsibilities of the occupying force. 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Ideal for advanced students and practitioners new to the field.</w:t>
      </w:r>
      <w:proofErr w:type="gramEnd"/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---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 Case Studies &amp; Prolonged Occupations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4. The Occupation of Justice: The Supreme Court of Israel and the Occupied Territories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**Authors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David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Kretzmer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and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Yaël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Ronen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**Publisher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Oxford Academic / Oxford University Press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**Overview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A specialized, critical text analyzing domestic judicial responses to international law violations.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**Key Topics:** Critiques how the Israeli Supreme Court interprets the international law of belligerent occupation; analyzes legal arguments surrounding civilian settlements, land use, and security measures (such as curfews and house demolitions).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5. Prolonged Occupation and International Law: Israel and Palestine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**Editors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Nada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Kiswanson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and Susan Power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**Publisher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Brill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**Overview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A comprehensive volume gathering insights from several global legal scholars to address the legal friction caused by multi-decade control.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**Key Topics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Focuses strictly on the legal threshold where a temporary belligerent occupation transforms into a de facto permanent annexation.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6. Revisiting the Law of Occupation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**Author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Hanne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Cuyckens</w:t>
      </w:r>
      <w:proofErr w:type="spellEnd"/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**Publisher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Brill /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Martinus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Nijhoff</w:t>
      </w:r>
      <w:proofErr w:type="spellEnd"/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**Overview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This monograph tackles the structural limits of original treaty laws when applied to long-standing, modern conflicts.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**Key Topics:** Argues for flexible treaty interpretations; details how International Human Rights Law (IHRL) can be used to plug gaps where traditional martial and humanitarian laws fall short in places like Iraq or the Palestinian Territories.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---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 Specialized &amp; Historical Perspectives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7. The Legality of Economic Activities in Occupied Territories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**Editors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Antoine Duval and Eva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Kassoti</w:t>
      </w:r>
      <w:proofErr w:type="spellEnd"/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**Publisher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Routledge</w:t>
      </w:r>
      <w:proofErr w:type="spellEnd"/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**Overview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A comprehensive legal anthology breaking down the commercial and corporate dimensions of territorial occupation.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**Key Topics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Investigate third-party state trading obligations; corporate exploitation of natural resources; business-related human rights duties in occupied zones.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8. Occupation and Control in International Humanitarian Law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**Author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Natia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Kalandarishvili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-Mueller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**Publisher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Routledge</w:t>
      </w:r>
      <w:proofErr w:type="spellEnd"/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lastRenderedPageBreak/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**Overview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An in-depth look at how the physical and spatial "notion of control" is evolving under modern warfare tactics.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**Key Topics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Provides a legal anatomy of modern "occupations by proxy," where a state exercises military control indirectly through a local militia, insurgent group, or puppet government.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9. A History of Military Occupation from 1792 To 1914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**Author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* Peter M. R.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Stirk</w:t>
      </w:r>
      <w:proofErr w:type="spellEnd"/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**Publisher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Edinburgh University Press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**Overview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:*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 Designed for readers looking for a deep historical evolution of the doctrine.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**Key Topics:** Charts how the legal concept of occupation first separated itself from the concept of total conquest during the long 19th century, starting from the French Revolutionary Wars up to WWI.</w:t>
      </w:r>
    </w:p>
    <w:p w:rsidR="00E11017" w:rsidRPr="00E11017" w:rsidRDefault="00E11017" w:rsidP="00E11017">
      <w:pPr>
        <w:widowControl/>
        <w:shd w:val="clear" w:color="auto" w:fill="F0F2F5"/>
        <w:rPr>
          <w:rFonts w:ascii="Arial" w:eastAsia="新細明體" w:hAnsi="Arial" w:cs="Arial"/>
          <w:color w:val="0A0A0A"/>
          <w:kern w:val="0"/>
          <w:sz w:val="11"/>
          <w:szCs w:val="11"/>
        </w:rPr>
      </w:pPr>
      <w:r w:rsidRPr="00E11017">
        <w:rPr>
          <w:rFonts w:ascii="Arial" w:eastAsia="新細明體" w:hAnsi="Arial" w:cs="Arial"/>
          <w:color w:val="0A0A0A"/>
          <w:kern w:val="0"/>
          <w:sz w:val="11"/>
          <w:szCs w:val="11"/>
        </w:rPr>
        <w:t>請謹慎使用程式碼。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pict>
          <v:rect id="_x0000_i1028" style="width:0;height:.45pt" o:hralign="center" o:hrstd="t" o:hr="t" fillcolor="#a0a0a0" stroked="f"/>
        </w:pic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Would you like me to add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citation formats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(like APA or Bluebook) to any of these entries, or add brief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chapter summaries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for a specific book on this list?</w:t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</w:rPr>
        <w:t xml:space="preserve">2 </w:t>
      </w:r>
      <w:proofErr w:type="gramStart"/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</w:rPr>
        <w:t>個</w:t>
      </w:r>
      <w:proofErr w:type="gramEnd"/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</w:rPr>
        <w:t>網站</w:t>
      </w:r>
    </w:p>
    <w:p w:rsidR="00E11017" w:rsidRPr="00E11017" w:rsidRDefault="00E11017" w:rsidP="00E11017">
      <w:pPr>
        <w:widowControl/>
        <w:numPr>
          <w:ilvl w:val="0"/>
          <w:numId w:val="5"/>
        </w:numPr>
        <w:ind w:left="0"/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t>Convert Word Document to Markdown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1"/>
          <w:szCs w:val="11"/>
        </w:rPr>
      </w:pPr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This will save the new file in markdown format with </w:t>
      </w:r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the .</w:t>
      </w:r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</w:t>
      </w:r>
      <w:proofErr w:type="spellStart"/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md</w:t>
      </w:r>
      <w:proofErr w:type="spellEnd"/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extension.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>
        <w:rPr>
          <w:rFonts w:ascii="Arial" w:eastAsia="新細明體" w:hAnsi="Arial" w:cs="Arial"/>
          <w:noProof/>
          <w:color w:val="0A0A0A"/>
          <w:kern w:val="0"/>
          <w:sz w:val="14"/>
          <w:szCs w:val="14"/>
        </w:rPr>
        <w:drawing>
          <wp:inline distT="0" distB="0" distL="0" distR="0">
            <wp:extent cx="942340" cy="942340"/>
            <wp:effectExtent l="19050" t="0" r="0" b="0"/>
            <wp:docPr id="5" name="圖片 5" descr="https://encrypted-tbn1.gstatic.com/images?q=tbn:ANd9GcSTdtn4z0HCQhXrIVQxyKlgVJqQwMPRqJXZX6QH1OKFp-9NtEPxCfvPs3gatPLGGEI6_bbNq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crypted-tbn1.gstatic.com/images?q=tbn:ANd9GcSTdtn4z0HCQhXrIVQxyKlgVJqQwMPRqJXZX6QH1OKFp-9NtEPxCfvPs3gatPLGGEI6_bbNqw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17" w:rsidRPr="00E11017" w:rsidRDefault="00E11017" w:rsidP="00E11017">
      <w:pPr>
        <w:widowControl/>
        <w:shd w:val="clear" w:color="auto" w:fill="FFFFFF"/>
        <w:spacing w:line="141" w:lineRule="atLeast"/>
        <w:textAlignment w:val="center"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>
        <w:rPr>
          <w:rFonts w:ascii="Arial" w:eastAsia="新細明體" w:hAnsi="Arial" w:cs="Arial"/>
          <w:noProof/>
          <w:color w:val="0A0A0A"/>
          <w:kern w:val="0"/>
          <w:sz w:val="14"/>
          <w:szCs w:val="14"/>
        </w:rPr>
        <w:drawing>
          <wp:inline distT="0" distB="0" distL="0" distR="0">
            <wp:extent cx="1217295" cy="1217295"/>
            <wp:effectExtent l="19050" t="0" r="1905" b="0"/>
            <wp:docPr id="6" name="圖片 6" descr="https://encrypted-tbn2.gstatic.com/faviconV2?url=https://www.tutorialsteacher.com&amp;client=AIM&amp;size=128&amp;type=FAVICON&amp;fallback_opts=TYPE,SIZE,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ncrypted-tbn2.gstatic.com/faviconV2?url=https://www.tutorialsteacher.com&amp;client=AIM&amp;size=128&amp;type=FAVICON&amp;fallback_opts=TYPE,SIZE,URL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121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4"/>
          <w:szCs w:val="14"/>
        </w:rPr>
      </w:pP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1"/>
        </w:rPr>
        <w:t>TutorialsTeacher</w:t>
      </w:r>
      <w:proofErr w:type="spellEnd"/>
    </w:p>
    <w:p w:rsidR="00E11017" w:rsidRPr="00E11017" w:rsidRDefault="00E11017" w:rsidP="00E11017">
      <w:pPr>
        <w:widowControl/>
        <w:numPr>
          <w:ilvl w:val="0"/>
          <w:numId w:val="5"/>
        </w:numPr>
        <w:ind w:left="0"/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t>How to export school content and data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1"/>
          <w:szCs w:val="11"/>
        </w:rPr>
      </w:pPr>
      <w:r w:rsidRPr="00E11017">
        <w:rPr>
          <w:rFonts w:ascii="Arial" w:eastAsia="新細明體" w:hAnsi="Arial" w:cs="Arial"/>
          <w:color w:val="56595E"/>
          <w:kern w:val="0"/>
          <w:sz w:val="11"/>
        </w:rPr>
        <w:t>For text within your course, copy and paste it into an external word processor, such as Microsoft Word, Pages, or Google Docs, and...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>
        <w:rPr>
          <w:rFonts w:ascii="Arial" w:eastAsia="新細明體" w:hAnsi="Arial" w:cs="Arial"/>
          <w:noProof/>
          <w:color w:val="0A0A0A"/>
          <w:kern w:val="0"/>
          <w:sz w:val="14"/>
          <w:szCs w:val="14"/>
        </w:rPr>
        <w:lastRenderedPageBreak/>
        <w:drawing>
          <wp:inline distT="0" distB="0" distL="0" distR="0">
            <wp:extent cx="942340" cy="942340"/>
            <wp:effectExtent l="19050" t="0" r="0" b="0"/>
            <wp:docPr id="7" name="圖片 7" descr="https://encrypted-tbn1.gstatic.com/images?q=tbn:ANd9GcRLW7QE0AdOse9NKY0du3cKrdUmRaGP_QapMNqKcDH4o2euDUgB2ps7X_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ncrypted-tbn1.gstatic.com/images?q=tbn:ANd9GcRLW7QE0AdOse9NKY0du3cKrdUmRaGP_QapMNqKcDH4o2euDUgB2ps7X_yE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17" w:rsidRPr="00E11017" w:rsidRDefault="00E11017" w:rsidP="00E11017">
      <w:pPr>
        <w:widowControl/>
        <w:shd w:val="clear" w:color="auto" w:fill="FFFFFF"/>
        <w:spacing w:line="141" w:lineRule="atLeast"/>
        <w:textAlignment w:val="center"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>
        <w:rPr>
          <w:rFonts w:ascii="Arial" w:eastAsia="新細明體" w:hAnsi="Arial" w:cs="Arial"/>
          <w:noProof/>
          <w:color w:val="0A0A0A"/>
          <w:kern w:val="0"/>
          <w:sz w:val="14"/>
          <w:szCs w:val="14"/>
        </w:rPr>
        <w:drawing>
          <wp:inline distT="0" distB="0" distL="0" distR="0">
            <wp:extent cx="1217295" cy="1217295"/>
            <wp:effectExtent l="19050" t="0" r="1905" b="0"/>
            <wp:docPr id="8" name="圖片 8" descr="https://encrypted-tbn2.gstatic.com/faviconV2?url=https://support.teachable.com&amp;client=AIM&amp;size=128&amp;type=FAVICON&amp;fallback_opts=TYPE,SIZE,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encrypted-tbn2.gstatic.com/faviconV2?url=https://support.teachable.com&amp;client=AIM&amp;size=128&amp;type=FAVICON&amp;fallback_opts=TYPE,SIZE,URL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121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1"/>
        </w:rPr>
        <w:t>Teachable Help Center</w:t>
      </w:r>
    </w:p>
    <w:p w:rsidR="00E11017" w:rsidRPr="00E11017" w:rsidRDefault="00E11017" w:rsidP="00E11017">
      <w:pPr>
        <w:widowControl/>
        <w:shd w:val="clear" w:color="auto" w:fill="F0F2F5"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4"/>
        </w:rPr>
        <w:t>How do I open a markdown document?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You can open a Markdown (</w:t>
      </w:r>
      <w:r w:rsidRPr="00E11017">
        <w:rPr>
          <w:rFonts w:ascii="細明體" w:eastAsia="細明體" w:hAnsi="細明體" w:cs="細明體"/>
          <w:color w:val="0A0A0A"/>
          <w:spacing w:val="1"/>
          <w:kern w:val="0"/>
          <w:sz w:val="12"/>
        </w:rPr>
        <w:t>.</w:t>
      </w:r>
      <w:proofErr w:type="spellStart"/>
      <w:r w:rsidRPr="00E11017">
        <w:rPr>
          <w:rFonts w:ascii="細明體" w:eastAsia="細明體" w:hAnsi="細明體" w:cs="細明體"/>
          <w:color w:val="0A0A0A"/>
          <w:spacing w:val="1"/>
          <w:kern w:val="0"/>
          <w:sz w:val="12"/>
        </w:rPr>
        <w:t>md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) document using almost any text editor or specialized viewer.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</w:p>
    <w:p w:rsidR="00E11017" w:rsidRPr="00E11017" w:rsidRDefault="00E11017" w:rsidP="00E11017">
      <w:pPr>
        <w:widowControl/>
        <w:spacing w:line="212" w:lineRule="atLeast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Here are the easiest ways to open it, depending on how you want to read or edit it: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1. Plain Text Editors (Easiest)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Because Markdown is just plain text, standard built-in text editors can open it instantly.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</w:p>
    <w:p w:rsidR="00E11017" w:rsidRPr="00E11017" w:rsidRDefault="00E11017" w:rsidP="00E11017">
      <w:pPr>
        <w:widowControl/>
        <w:numPr>
          <w:ilvl w:val="0"/>
          <w:numId w:val="6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Windows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: Right-click the file -&gt;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Open with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-&gt;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Notepad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.</w:t>
      </w:r>
    </w:p>
    <w:p w:rsidR="00E11017" w:rsidRPr="00E11017" w:rsidRDefault="00E11017" w:rsidP="00E11017">
      <w:pPr>
        <w:widowControl/>
        <w:numPr>
          <w:ilvl w:val="0"/>
          <w:numId w:val="6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Mac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: Right-click the file -&gt;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Open With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-&gt; </w:t>
      </w:r>
      <w:proofErr w:type="spellStart"/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TextEdit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.</w:t>
      </w:r>
    </w:p>
    <w:p w:rsidR="00E11017" w:rsidRPr="00E11017" w:rsidRDefault="00E11017" w:rsidP="00E11017">
      <w:pPr>
        <w:widowControl/>
        <w:numPr>
          <w:ilvl w:val="0"/>
          <w:numId w:val="6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Note: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You will see the raw formatting codes (like </w:t>
      </w:r>
      <w:r w:rsidRPr="00E11017">
        <w:rPr>
          <w:rFonts w:ascii="細明體" w:eastAsia="細明體" w:hAnsi="細明體" w:cs="細明體"/>
          <w:color w:val="0A0A0A"/>
          <w:spacing w:val="1"/>
          <w:kern w:val="0"/>
          <w:sz w:val="12"/>
        </w:rPr>
        <w:t>#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and </w:t>
      </w:r>
      <w:r w:rsidRPr="00E11017">
        <w:rPr>
          <w:rFonts w:ascii="細明體" w:eastAsia="細明體" w:hAnsi="細明體" w:cs="細明體"/>
          <w:color w:val="0A0A0A"/>
          <w:spacing w:val="1"/>
          <w:kern w:val="0"/>
          <w:sz w:val="12"/>
        </w:rPr>
        <w:t>*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), but the text will be completely readable. 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2. Dedicated Markdown Editors (Best for Reading)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These programs will automatically "render" the document so it looks like a clean, formatted web page with bold text, clean headers, and visual dividers.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</w:p>
    <w:p w:rsidR="00E11017" w:rsidRPr="00E11017" w:rsidRDefault="00E11017" w:rsidP="00E11017">
      <w:pPr>
        <w:widowControl/>
        <w:numPr>
          <w:ilvl w:val="0"/>
          <w:numId w:val="7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proofErr w:type="spellStart"/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Typora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: A beautiful, clean editor that formats the text in real-time.</w:t>
      </w:r>
    </w:p>
    <w:p w:rsidR="00E11017" w:rsidRPr="00E11017" w:rsidRDefault="00E11017" w:rsidP="00E11017">
      <w:pPr>
        <w:widowControl/>
        <w:numPr>
          <w:ilvl w:val="0"/>
          <w:numId w:val="7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Obsidian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: A popular, free note-taking app built entirely on Markdown files.</w:t>
      </w:r>
    </w:p>
    <w:p w:rsidR="00E11017" w:rsidRPr="00E11017" w:rsidRDefault="00E11017" w:rsidP="00E11017">
      <w:pPr>
        <w:widowControl/>
        <w:numPr>
          <w:ilvl w:val="0"/>
          <w:numId w:val="7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proofErr w:type="spellStart"/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MarkText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: A free, open-source Markdown editor available for Windows, Mac, and Linux. 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3. Web Browsers (Quick Preview)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You can view Markdown files directly inside Google Chrome, Microsoft Edge, or Mozilla Firefox.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</w:p>
    <w:p w:rsidR="00E11017" w:rsidRPr="00E11017" w:rsidRDefault="00E11017" w:rsidP="00E11017">
      <w:pPr>
        <w:widowControl/>
        <w:numPr>
          <w:ilvl w:val="0"/>
          <w:numId w:val="8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Simply install a free extension like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Markdown Viewer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from your browser's extension store.</w:t>
      </w:r>
    </w:p>
    <w:p w:rsidR="00E11017" w:rsidRPr="00E11017" w:rsidRDefault="00E11017" w:rsidP="00E11017">
      <w:pPr>
        <w:widowControl/>
        <w:numPr>
          <w:ilvl w:val="0"/>
          <w:numId w:val="8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Once installed, you can drag and drop your </w:t>
      </w:r>
      <w:r w:rsidRPr="00E11017">
        <w:rPr>
          <w:rFonts w:ascii="細明體" w:eastAsia="細明體" w:hAnsi="細明體" w:cs="細明體"/>
          <w:color w:val="0A0A0A"/>
          <w:spacing w:val="1"/>
          <w:kern w:val="0"/>
          <w:sz w:val="12"/>
        </w:rPr>
        <w:t>.</w:t>
      </w:r>
      <w:proofErr w:type="spellStart"/>
      <w:r w:rsidRPr="00E11017">
        <w:rPr>
          <w:rFonts w:ascii="細明體" w:eastAsia="細明體" w:hAnsi="細明體" w:cs="細明體"/>
          <w:color w:val="0A0A0A"/>
          <w:spacing w:val="1"/>
          <w:kern w:val="0"/>
          <w:sz w:val="12"/>
        </w:rPr>
        <w:t>md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file directly into a browser tab to read it perfectly formatted. 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4. Code Editors (For Developers)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If you already write code, your existing tools have powerful, built-in Markdown support.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</w:p>
    <w:p w:rsidR="00E11017" w:rsidRPr="00E11017" w:rsidRDefault="00E11017" w:rsidP="00E11017">
      <w:pPr>
        <w:widowControl/>
        <w:numPr>
          <w:ilvl w:val="0"/>
          <w:numId w:val="9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VS Code (Visual Studio Code)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: Open the file, then press </w:t>
      </w:r>
      <w:r w:rsidRPr="00E11017">
        <w:rPr>
          <w:rFonts w:ascii="細明體" w:eastAsia="細明體" w:hAnsi="細明體" w:cs="細明體"/>
          <w:color w:val="0A0A0A"/>
          <w:spacing w:val="1"/>
          <w:kern w:val="0"/>
          <w:sz w:val="12"/>
        </w:rPr>
        <w:t>Ctrl + Shift + V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(Windows) or </w:t>
      </w:r>
      <w:proofErr w:type="spellStart"/>
      <w:r w:rsidRPr="00E11017">
        <w:rPr>
          <w:rFonts w:ascii="細明體" w:eastAsia="細明體" w:hAnsi="細明體" w:cs="細明體"/>
          <w:color w:val="0A0A0A"/>
          <w:spacing w:val="1"/>
          <w:kern w:val="0"/>
          <w:sz w:val="12"/>
        </w:rPr>
        <w:t>Cmd</w:t>
      </w:r>
      <w:proofErr w:type="spellEnd"/>
      <w:r w:rsidRPr="00E11017">
        <w:rPr>
          <w:rFonts w:ascii="細明體" w:eastAsia="細明體" w:hAnsi="細明體" w:cs="細明體"/>
          <w:color w:val="0A0A0A"/>
          <w:spacing w:val="1"/>
          <w:kern w:val="0"/>
          <w:sz w:val="12"/>
        </w:rPr>
        <w:t xml:space="preserve"> + Shift + V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(Mac) to open a side-by-side preview window.</w:t>
      </w:r>
    </w:p>
    <w:p w:rsidR="00E11017" w:rsidRPr="00E11017" w:rsidRDefault="00E11017" w:rsidP="00E11017">
      <w:pPr>
        <w:widowControl/>
        <w:numPr>
          <w:ilvl w:val="0"/>
          <w:numId w:val="9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Notepad++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: Open the file and use the Markdown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plugin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for syntax highlighting. </w:t>
      </w:r>
    </w:p>
    <w:p w:rsidR="00E11017" w:rsidRPr="00E11017" w:rsidRDefault="00E11017" w:rsidP="00E11017">
      <w:pPr>
        <w:widowControl/>
        <w:spacing w:line="212" w:lineRule="atLeast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Would you like help converting this Markdown text into a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Word Document (.</w:t>
      </w:r>
      <w:proofErr w:type="spellStart"/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docx</w:t>
      </w:r>
      <w:proofErr w:type="spellEnd"/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)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or a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PDF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instead so you can open it without any special tools?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</w:rPr>
        <w:t xml:space="preserve">34 </w:t>
      </w:r>
      <w:proofErr w:type="gramStart"/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</w:rPr>
        <w:t>個</w:t>
      </w:r>
      <w:proofErr w:type="gramEnd"/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</w:rPr>
        <w:t>網站</w:t>
      </w:r>
    </w:p>
    <w:p w:rsidR="00E11017" w:rsidRPr="00E11017" w:rsidRDefault="00E11017" w:rsidP="00E11017">
      <w:pPr>
        <w:widowControl/>
        <w:numPr>
          <w:ilvl w:val="0"/>
          <w:numId w:val="10"/>
        </w:numPr>
        <w:ind w:left="0"/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lastRenderedPageBreak/>
        <w:t>What is Markdown? Master the Writing Language Loved by Developers in 5 Minutes!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1"/>
          <w:szCs w:val="11"/>
        </w:rPr>
      </w:pPr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Universal Compatibility: Files use </w:t>
      </w:r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the .</w:t>
      </w:r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</w:t>
      </w:r>
      <w:proofErr w:type="spellStart"/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md</w:t>
      </w:r>
      <w:proofErr w:type="spellEnd"/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or . </w:t>
      </w:r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markdown</w:t>
      </w:r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extension, are tiny in size, and can be opened and edited by any device'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>
        <w:rPr>
          <w:rFonts w:ascii="Arial" w:eastAsia="新細明體" w:hAnsi="Arial" w:cs="Arial"/>
          <w:noProof/>
          <w:color w:val="0A0A0A"/>
          <w:kern w:val="0"/>
          <w:sz w:val="14"/>
          <w:szCs w:val="14"/>
        </w:rPr>
        <w:drawing>
          <wp:inline distT="0" distB="0" distL="0" distR="0">
            <wp:extent cx="942340" cy="942340"/>
            <wp:effectExtent l="19050" t="0" r="0" b="0"/>
            <wp:docPr id="9" name="圖片 9" descr="https://encrypted-tbn3.gstatic.com/images?q=tbn:ANd9GcQ7fRuWbw73kpKMyThL4fgpRP-dky6yAPoO77k_mYhxQQa7hV2lIUkLHhjmWrluxTWQkx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encrypted-tbn3.gstatic.com/images?q=tbn:ANd9GcQ7fRuWbw73kpKMyThL4fgpRP-dky6yAPoO77k_mYhxQQa7hV2lIUkLHhjmWrluxTWQkxAIXA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17" w:rsidRPr="00E11017" w:rsidRDefault="00E11017" w:rsidP="00E11017">
      <w:pPr>
        <w:widowControl/>
        <w:shd w:val="clear" w:color="auto" w:fill="FFFFFF"/>
        <w:spacing w:line="141" w:lineRule="atLeast"/>
        <w:textAlignment w:val="center"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>
        <w:rPr>
          <w:rFonts w:ascii="Arial" w:eastAsia="新細明體" w:hAnsi="Arial" w:cs="Arial"/>
          <w:noProof/>
          <w:color w:val="0A0A0A"/>
          <w:kern w:val="0"/>
          <w:sz w:val="14"/>
          <w:szCs w:val="14"/>
        </w:rPr>
        <w:drawing>
          <wp:inline distT="0" distB="0" distL="0" distR="0">
            <wp:extent cx="302895" cy="302895"/>
            <wp:effectExtent l="19050" t="0" r="0" b="0"/>
            <wp:docPr id="10" name="圖片 10" descr="https://encrypted-tbn1.gstatic.com/faviconV2?url=https://boardmix.com&amp;client=AIM&amp;size=128&amp;type=FAVICON&amp;fallback_opts=TYPE,SIZE,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ncrypted-tbn1.gstatic.com/faviconV2?url=https://boardmix.com&amp;client=AIM&amp;size=128&amp;type=FAVICON&amp;fallback_opts=TYPE,SIZE,URL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30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4"/>
          <w:szCs w:val="14"/>
        </w:rPr>
      </w:pP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1"/>
        </w:rPr>
        <w:t>Boardmix</w:t>
      </w:r>
      <w:proofErr w:type="spellEnd"/>
    </w:p>
    <w:p w:rsidR="00E11017" w:rsidRPr="00E11017" w:rsidRDefault="00E11017" w:rsidP="00E11017">
      <w:pPr>
        <w:widowControl/>
        <w:numPr>
          <w:ilvl w:val="0"/>
          <w:numId w:val="10"/>
        </w:numPr>
        <w:ind w:left="0"/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t>How to Convert a Markdown File to PDF Online: A Quick Guide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1"/>
          <w:szCs w:val="11"/>
        </w:rPr>
      </w:pPr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#1.</w:t>
      </w:r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How can I open an MD file? You can open </w:t>
      </w:r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an .</w:t>
      </w:r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</w:t>
      </w:r>
      <w:proofErr w:type="spellStart"/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md</w:t>
      </w:r>
      <w:proofErr w:type="spellEnd"/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file with any text editor, such as Notepad, Visual Studio Code, or Sublime Tex...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>
        <w:rPr>
          <w:rFonts w:ascii="Arial" w:eastAsia="新細明體" w:hAnsi="Arial" w:cs="Arial"/>
          <w:noProof/>
          <w:color w:val="0A0A0A"/>
          <w:kern w:val="0"/>
          <w:sz w:val="14"/>
          <w:szCs w:val="14"/>
        </w:rPr>
        <w:drawing>
          <wp:inline distT="0" distB="0" distL="0" distR="0">
            <wp:extent cx="931545" cy="942340"/>
            <wp:effectExtent l="19050" t="0" r="1905" b="0"/>
            <wp:docPr id="11" name="圖片 11" descr="https://encrypted-tbn1.gstatic.com/images?q=tbn:ANd9GcRGXkV2y5wxmp8WBJrh5G8zyN79AKulDbgrZ41z7BkIBn8SC5hQEZc5DroWGFjJHRAEsSRt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encrypted-tbn1.gstatic.com/images?q=tbn:ANd9GcRGXkV2y5wxmp8WBJrh5G8zyN79AKulDbgrZ41z7BkIBn8SC5hQEZc5DroWGFjJHRAEsSRtV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17" w:rsidRPr="00E11017" w:rsidRDefault="00E11017" w:rsidP="00E11017">
      <w:pPr>
        <w:widowControl/>
        <w:shd w:val="clear" w:color="auto" w:fill="FFFFFF"/>
        <w:spacing w:line="141" w:lineRule="atLeast"/>
        <w:textAlignment w:val="center"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>
        <w:rPr>
          <w:rFonts w:ascii="Arial" w:eastAsia="新細明體" w:hAnsi="Arial" w:cs="Arial"/>
          <w:noProof/>
          <w:color w:val="0A0A0A"/>
          <w:kern w:val="0"/>
          <w:sz w:val="14"/>
          <w:szCs w:val="14"/>
        </w:rPr>
        <w:drawing>
          <wp:inline distT="0" distB="0" distL="0" distR="0">
            <wp:extent cx="1217295" cy="1217295"/>
            <wp:effectExtent l="19050" t="0" r="1905" b="0"/>
            <wp:docPr id="12" name="圖片 12" descr="https://encrypted-tbn0.gstatic.com/faviconV2?url=https://pdf.net&amp;client=AIM&amp;size=128&amp;type=FAVICON&amp;fallback_opts=TYPE,SIZE,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encrypted-tbn0.gstatic.com/faviconV2?url=https://pdf.net&amp;client=AIM&amp;size=128&amp;type=FAVICON&amp;fallback_opts=TYPE,SIZE,URL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121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1"/>
        </w:rPr>
        <w:t>pdf.net</w:t>
      </w:r>
    </w:p>
    <w:p w:rsidR="00E11017" w:rsidRPr="00E11017" w:rsidRDefault="00E11017" w:rsidP="00E11017">
      <w:pPr>
        <w:widowControl/>
        <w:numPr>
          <w:ilvl w:val="0"/>
          <w:numId w:val="10"/>
        </w:numPr>
        <w:ind w:left="0"/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t>Markdown Cheat Sheet : A Complete Guide (2025)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1"/>
          <w:szCs w:val="11"/>
        </w:rPr>
      </w:pPr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Platform-independent: Markdown files can be opened and viewed on any device or operating system using a compatible text editor </w:t>
      </w:r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or ...</w:t>
      </w:r>
      <w:proofErr w:type="gramEnd"/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>
        <w:rPr>
          <w:rFonts w:ascii="Arial" w:eastAsia="新細明體" w:hAnsi="Arial" w:cs="Arial"/>
          <w:noProof/>
          <w:color w:val="0A0A0A"/>
          <w:kern w:val="0"/>
          <w:sz w:val="14"/>
          <w:szCs w:val="14"/>
        </w:rPr>
        <w:drawing>
          <wp:inline distT="0" distB="0" distL="0" distR="0">
            <wp:extent cx="942340" cy="942340"/>
            <wp:effectExtent l="19050" t="0" r="0" b="0"/>
            <wp:docPr id="13" name="圖片 13" descr="https://encrypted-tbn1.gstatic.com/images?q=tbn:ANd9GcQS0pFwh4iF8cgHXDjtPyPNvT4QQmbsEQBn2HhdG0_jUYBZBYd-DGALJSt-YyETQl9NDdhH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ncrypted-tbn1.gstatic.com/images?q=tbn:ANd9GcQS0pFwh4iF8cgHXDjtPyPNvT4QQmbsEQBn2HhdG0_jUYBZBYd-DGALJSt-YyETQl9NDdhHZA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17" w:rsidRPr="00E11017" w:rsidRDefault="00E11017" w:rsidP="00E11017">
      <w:pPr>
        <w:widowControl/>
        <w:shd w:val="clear" w:color="auto" w:fill="FFFFFF"/>
        <w:spacing w:line="141" w:lineRule="atLeast"/>
        <w:textAlignment w:val="center"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>
        <w:rPr>
          <w:rFonts w:ascii="Arial" w:eastAsia="新細明體" w:hAnsi="Arial" w:cs="Arial"/>
          <w:noProof/>
          <w:color w:val="0A0A0A"/>
          <w:kern w:val="0"/>
          <w:sz w:val="14"/>
          <w:szCs w:val="14"/>
        </w:rPr>
        <w:drawing>
          <wp:inline distT="0" distB="0" distL="0" distR="0">
            <wp:extent cx="1217295" cy="1217295"/>
            <wp:effectExtent l="19050" t="0" r="1905" b="0"/>
            <wp:docPr id="14" name="圖片 14" descr="https://encrypted-tbn0.gstatic.com/faviconV2?url=https://www.analyticsvidhya.com&amp;client=AIM&amp;size=128&amp;type=FAVICON&amp;fallback_opts=TYPE,SIZE,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encrypted-tbn0.gstatic.com/faviconV2?url=https://www.analyticsvidhya.com&amp;client=AIM&amp;size=128&amp;type=FAVICON&amp;fallback_opts=TYPE,SIZE,URL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121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1"/>
        </w:rPr>
        <w:t xml:space="preserve">Analytics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1"/>
        </w:rPr>
        <w:t>Vidhya</w:t>
      </w:r>
      <w:proofErr w:type="spellEnd"/>
    </w:p>
    <w:p w:rsidR="00E11017" w:rsidRPr="00E11017" w:rsidRDefault="00E11017" w:rsidP="00E11017">
      <w:pPr>
        <w:widowControl/>
        <w:shd w:val="clear" w:color="auto" w:fill="E9EBF0"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</w:rPr>
        <w:t>顯示全部</w:t>
      </w:r>
    </w:p>
    <w:p w:rsidR="00E11017" w:rsidRPr="00E11017" w:rsidRDefault="00E11017" w:rsidP="00E11017">
      <w:pPr>
        <w:widowControl/>
        <w:shd w:val="clear" w:color="auto" w:fill="F0F2F5"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4"/>
        </w:rPr>
        <w:lastRenderedPageBreak/>
        <w:t xml:space="preserve">Yes, please format as </w:t>
      </w:r>
      <w:proofErr w:type="spellStart"/>
      <w:r w:rsidRPr="00E11017">
        <w:rPr>
          <w:rFonts w:ascii="Arial" w:eastAsia="新細明體" w:hAnsi="Arial" w:cs="Arial"/>
          <w:color w:val="0A0A0A"/>
          <w:kern w:val="0"/>
          <w:sz w:val="14"/>
        </w:rPr>
        <w:t>pdf</w:t>
      </w:r>
      <w:proofErr w:type="spellEnd"/>
      <w:r w:rsidRPr="00E11017">
        <w:rPr>
          <w:rFonts w:ascii="Arial" w:eastAsia="新細明體" w:hAnsi="Arial" w:cs="Arial"/>
          <w:color w:val="0A0A0A"/>
          <w:kern w:val="0"/>
          <w:sz w:val="14"/>
        </w:rPr>
        <w:t xml:space="preserve"> and add all relevant citations and notations. </w:t>
      </w:r>
      <w:proofErr w:type="spellStart"/>
      <w:r w:rsidRPr="00E11017">
        <w:rPr>
          <w:rFonts w:ascii="Arial" w:eastAsia="新細明體" w:hAnsi="Arial" w:cs="Arial"/>
          <w:color w:val="0A0A0A"/>
          <w:kern w:val="0"/>
          <w:sz w:val="14"/>
        </w:rPr>
        <w:t>Hello</w:t>
      </w:r>
      <w:proofErr w:type="gramStart"/>
      <w:r w:rsidRPr="00E11017">
        <w:rPr>
          <w:rFonts w:ascii="Arial" w:eastAsia="新細明體" w:hAnsi="Arial" w:cs="Arial"/>
          <w:color w:val="0A0A0A"/>
          <w:kern w:val="0"/>
          <w:sz w:val="14"/>
        </w:rPr>
        <w:t>:Please</w:t>
      </w:r>
      <w:proofErr w:type="spellEnd"/>
      <w:proofErr w:type="gramEnd"/>
      <w:r w:rsidRPr="00E11017">
        <w:rPr>
          <w:rFonts w:ascii="Arial" w:eastAsia="新細明體" w:hAnsi="Arial" w:cs="Arial"/>
          <w:color w:val="0A0A0A"/>
          <w:kern w:val="0"/>
          <w:sz w:val="14"/>
        </w:rPr>
        <w:t xml:space="preserve"> translate to ban sing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As an AI, I am unable to directly generate or download raw file formats like a </w:t>
      </w:r>
      <w:r w:rsidRPr="00E11017">
        <w:rPr>
          <w:rFonts w:ascii="細明體" w:eastAsia="細明體" w:hAnsi="細明體" w:cs="細明體"/>
          <w:color w:val="0A0A0A"/>
          <w:spacing w:val="1"/>
          <w:kern w:val="0"/>
          <w:sz w:val="12"/>
        </w:rPr>
        <w:t>.</w:t>
      </w:r>
      <w:proofErr w:type="spellStart"/>
      <w:r w:rsidRPr="00E11017">
        <w:rPr>
          <w:rFonts w:ascii="細明體" w:eastAsia="細明體" w:hAnsi="細明體" w:cs="細明體"/>
          <w:color w:val="0A0A0A"/>
          <w:spacing w:val="1"/>
          <w:kern w:val="0"/>
          <w:sz w:val="12"/>
        </w:rPr>
        <w:t>pdf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directly to your local disk. However, you can easily save this complete bibliography as a clean PDF by doing the following:</w:t>
      </w:r>
    </w:p>
    <w:p w:rsidR="00E11017" w:rsidRPr="00E11017" w:rsidRDefault="00E11017" w:rsidP="00E11017">
      <w:pPr>
        <w:widowControl/>
        <w:numPr>
          <w:ilvl w:val="0"/>
          <w:numId w:val="11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Copy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the fully updated, cited text below.</w:t>
      </w:r>
    </w:p>
    <w:p w:rsidR="00E11017" w:rsidRPr="00E11017" w:rsidRDefault="00E11017" w:rsidP="00E11017">
      <w:pPr>
        <w:widowControl/>
        <w:numPr>
          <w:ilvl w:val="0"/>
          <w:numId w:val="11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Paste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it into Microsoft Word or Google Docs.</w:t>
      </w:r>
    </w:p>
    <w:p w:rsidR="00E11017" w:rsidRPr="00E11017" w:rsidRDefault="00E11017" w:rsidP="00E11017">
      <w:pPr>
        <w:widowControl/>
        <w:numPr>
          <w:ilvl w:val="0"/>
          <w:numId w:val="11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Go to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File &gt; Save As / Download &gt; PDF Document (.</w:t>
      </w:r>
      <w:proofErr w:type="spellStart"/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pdf</w:t>
      </w:r>
      <w:proofErr w:type="spellEnd"/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)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.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(Note regarding your request for </w:t>
      </w:r>
      <w:r w:rsidRPr="00E11017">
        <w:rPr>
          <w:rFonts w:ascii="Arial" w:eastAsia="新細明體" w:hAnsi="Arial" w:cs="Arial"/>
          <w:b/>
          <w:bCs/>
          <w:i/>
          <w:iCs/>
          <w:color w:val="D93025"/>
          <w:spacing w:val="1"/>
          <w:kern w:val="0"/>
          <w:sz w:val="14"/>
        </w:rPr>
        <w:t>"Ban Sing"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 xml:space="preserve">: There is no officially recognized global language or dialect cataloged under the exact name "Ban Sing". The phrase appears in historical Southeast Asian local </w:t>
      </w:r>
      <w:proofErr w:type="spellStart"/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placenames</w:t>
      </w:r>
      <w:proofErr w:type="spellEnd"/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 xml:space="preserve"> and occasionally in specific regional grammatical structures like the </w:t>
      </w:r>
      <w:proofErr w:type="spellStart"/>
      <w:r w:rsidRPr="00E11017">
        <w:rPr>
          <w:rFonts w:ascii="Arial" w:eastAsia="新細明體" w:hAnsi="Arial" w:cs="Arial"/>
          <w:b/>
          <w:bCs/>
          <w:i/>
          <w:iCs/>
          <w:color w:val="D93025"/>
          <w:spacing w:val="1"/>
          <w:kern w:val="0"/>
          <w:sz w:val="14"/>
        </w:rPr>
        <w:t>Tausūg</w:t>
      </w:r>
      <w:proofErr w:type="spellEnd"/>
      <w:r w:rsidRPr="00E11017">
        <w:rPr>
          <w:rFonts w:ascii="Arial" w:eastAsia="新細明體" w:hAnsi="Arial" w:cs="Arial"/>
          <w:b/>
          <w:bCs/>
          <w:i/>
          <w:iCs/>
          <w:color w:val="D93025"/>
          <w:spacing w:val="1"/>
          <w:kern w:val="0"/>
          <w:sz w:val="14"/>
        </w:rPr>
        <w:t xml:space="preserve"> language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 (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"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i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-ban sing..."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) from the southern Philippines. If you meant a different language, please let me know and I will gladly translate it for you!)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56595E"/>
          <w:spacing w:val="1"/>
          <w:kern w:val="0"/>
          <w:sz w:val="10"/>
        </w:rPr>
        <w:t>Wikipedia +4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Here is your comprehensive, fully annotated and formatted bibliography with legal citations in standard Bluebook format:</w:t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pict>
          <v:rect id="_x0000_i1039" style="width:0;height:.45pt" o:hralign="center" o:hrstd="t" o:hr="t" fillcolor="#a0a0a0" stroked="f"/>
        </w:pict>
      </w:r>
    </w:p>
    <w:p w:rsidR="00E11017" w:rsidRPr="00E11017" w:rsidRDefault="00E11017" w:rsidP="00E11017">
      <w:pPr>
        <w:widowControl/>
        <w:spacing w:line="247" w:lineRule="atLeast"/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Bibliography: The International Law of Belligerent Occupation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Subject Classification: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International Humanitarian Law (IHL) / Law of Armed Conflict (LOAC)</w:t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pict>
          <v:rect id="_x0000_i1040" style="width:0;height:.45pt" o:hralign="center" o:hrstd="t" o:hr="t" fillcolor="#a0a0a0" stroked="f"/>
        </w:pict>
      </w:r>
    </w:p>
    <w:p w:rsidR="00E11017" w:rsidRPr="00E11017" w:rsidRDefault="00E11017" w:rsidP="00E11017">
      <w:pPr>
        <w:widowControl/>
        <w:spacing w:line="247" w:lineRule="atLeast"/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I. Core Legal Frameworks &amp; Definitive Textbooks</w:t>
      </w:r>
    </w:p>
    <w:p w:rsidR="00E11017" w:rsidRPr="00E11017" w:rsidRDefault="00E11017" w:rsidP="00E11017">
      <w:pPr>
        <w:widowControl/>
        <w:spacing w:line="247" w:lineRule="atLeast"/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1. The International Law of Belligerent Occupation</w:t>
      </w:r>
    </w:p>
    <w:p w:rsidR="00E11017" w:rsidRPr="00E11017" w:rsidRDefault="00E11017" w:rsidP="00E11017">
      <w:pPr>
        <w:widowControl/>
        <w:numPr>
          <w:ilvl w:val="0"/>
          <w:numId w:val="12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Full Citation: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Yoram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Dinstein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, </w:t>
      </w:r>
      <w:proofErr w:type="gramStart"/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The</w:t>
      </w:r>
      <w:proofErr w:type="gramEnd"/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 xml:space="preserve"> International Law of Belligerent Occupation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(2d ed., Cambridge University Press 2019).</w:t>
      </w:r>
    </w:p>
    <w:p w:rsidR="00E11017" w:rsidRPr="00E11017" w:rsidRDefault="00E11017" w:rsidP="00E11017">
      <w:pPr>
        <w:widowControl/>
        <w:numPr>
          <w:ilvl w:val="0"/>
          <w:numId w:val="12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Overview: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Widely considered the definitive global textbook on the subject.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Dinstein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provides an exhaustive evaluation of customary international law rooted in the 1907 Hague Regulations and the 1949 Fourth Geneva Convention. 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56595E"/>
          <w:spacing w:val="1"/>
          <w:kern w:val="0"/>
          <w:sz w:val="10"/>
        </w:rPr>
        <w:t>IIHL +2</w:t>
      </w:r>
    </w:p>
    <w:p w:rsidR="00E11017" w:rsidRPr="00E11017" w:rsidRDefault="00E11017" w:rsidP="00E11017">
      <w:pPr>
        <w:widowControl/>
        <w:numPr>
          <w:ilvl w:val="0"/>
          <w:numId w:val="12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Key Notations:</w:t>
      </w:r>
    </w:p>
    <w:p w:rsidR="00E11017" w:rsidRPr="00E11017" w:rsidRDefault="00E11017" w:rsidP="00E11017">
      <w:pPr>
        <w:widowControl/>
        <w:numPr>
          <w:ilvl w:val="1"/>
          <w:numId w:val="12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Dedicates significant analysis to the temporal thresholds of occupation (determining the precise legal moment an occupation begins and when it legally terminates).</w:t>
      </w:r>
    </w:p>
    <w:p w:rsidR="00E11017" w:rsidRPr="00E11017" w:rsidRDefault="00E11017" w:rsidP="00E11017">
      <w:pPr>
        <w:widowControl/>
        <w:numPr>
          <w:ilvl w:val="1"/>
          <w:numId w:val="12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Examines the structural friction between traditional martial law regimes and modern international human rights law (IHRL).</w:t>
      </w:r>
    </w:p>
    <w:p w:rsidR="00E11017" w:rsidRPr="00E11017" w:rsidRDefault="00E11017" w:rsidP="00E11017">
      <w:pPr>
        <w:widowControl/>
        <w:numPr>
          <w:ilvl w:val="1"/>
          <w:numId w:val="12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Anchors abstract theory in practical state practice, heavily referencing the decades-long Israeli occupation, alongside the legal landscapes of post-2003 Iraq, the former Yugoslavia, and the Democratic Republic of the Congo.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2. The International Law of Occupation</w:t>
      </w:r>
    </w:p>
    <w:p w:rsidR="00E11017" w:rsidRPr="00E11017" w:rsidRDefault="00E11017" w:rsidP="00E11017">
      <w:pPr>
        <w:widowControl/>
        <w:numPr>
          <w:ilvl w:val="0"/>
          <w:numId w:val="13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Full Citation: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Eyal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Benvenisti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, </w:t>
      </w:r>
      <w:proofErr w:type="gramStart"/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The</w:t>
      </w:r>
      <w:proofErr w:type="gramEnd"/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 xml:space="preserve"> International Law of Occupation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(2d ed., Princeton University Press 2012).</w:t>
      </w:r>
    </w:p>
    <w:p w:rsidR="00E11017" w:rsidRPr="00E11017" w:rsidRDefault="00E11017" w:rsidP="00E11017">
      <w:pPr>
        <w:widowControl/>
        <w:numPr>
          <w:ilvl w:val="0"/>
          <w:numId w:val="13"/>
        </w:numPr>
        <w:spacing w:line="212" w:lineRule="atLeast"/>
        <w:ind w:left="0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Overview: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A premier academic text that traces the evolution of territorial control from 19th-century concepts of interstate war to modern asymmetrical conflicts.</w:t>
      </w:r>
    </w:p>
    <w:p w:rsidR="00E11017" w:rsidRPr="00E11017" w:rsidRDefault="00E11017" w:rsidP="00E11017">
      <w:pPr>
        <w:widowControl/>
        <w:numPr>
          <w:ilvl w:val="0"/>
          <w:numId w:val="13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Key Notations:</w:t>
      </w:r>
    </w:p>
    <w:p w:rsidR="00E11017" w:rsidRPr="00E11017" w:rsidRDefault="00E11017" w:rsidP="00E11017">
      <w:pPr>
        <w:widowControl/>
        <w:numPr>
          <w:ilvl w:val="1"/>
          <w:numId w:val="13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Formulates a modernized theory of governance for foreign territories seized via the unilateral use of military force.</w:t>
      </w:r>
    </w:p>
    <w:p w:rsidR="00E11017" w:rsidRPr="00E11017" w:rsidRDefault="00E11017" w:rsidP="00E11017">
      <w:pPr>
        <w:widowControl/>
        <w:numPr>
          <w:ilvl w:val="1"/>
          <w:numId w:val="13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Critically assesses the unique legal duties that arise when an occupying power must interact with collapsed local institutions or deeply hostile, ousted sovereign governments.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3. Occupation in International Law</w:t>
      </w:r>
    </w:p>
    <w:p w:rsidR="00E11017" w:rsidRPr="00E11017" w:rsidRDefault="00E11017" w:rsidP="00E11017">
      <w:pPr>
        <w:widowControl/>
        <w:numPr>
          <w:ilvl w:val="0"/>
          <w:numId w:val="14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Full Citation: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Eliav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Lieblich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&amp;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Eyal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Benvenisti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, 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Occupation in International Law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(Oxford University Press 2021).</w:t>
      </w:r>
    </w:p>
    <w:p w:rsidR="00E11017" w:rsidRPr="00E11017" w:rsidRDefault="00E11017" w:rsidP="00E11017">
      <w:pPr>
        <w:widowControl/>
        <w:numPr>
          <w:ilvl w:val="0"/>
          <w:numId w:val="14"/>
        </w:numPr>
        <w:spacing w:line="212" w:lineRule="atLeast"/>
        <w:ind w:left="0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lastRenderedPageBreak/>
        <w:t>Overview: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Part of the 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Oxford Elements of International Law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series, this monograph serves as an accessible yet analytically rigorous introduction to core legal dilemmas.</w:t>
      </w:r>
    </w:p>
    <w:p w:rsidR="00E11017" w:rsidRPr="00E11017" w:rsidRDefault="00E11017" w:rsidP="00E11017">
      <w:pPr>
        <w:widowControl/>
        <w:numPr>
          <w:ilvl w:val="0"/>
          <w:numId w:val="14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Key Notations:</w:t>
      </w:r>
    </w:p>
    <w:p w:rsidR="00E11017" w:rsidRPr="00E11017" w:rsidRDefault="00E11017" w:rsidP="00E11017">
      <w:pPr>
        <w:widowControl/>
        <w:numPr>
          <w:ilvl w:val="1"/>
          <w:numId w:val="14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Excellent for practitioners requiring a concise baseline on the "notion of control" under Article 42 of the Hague Regulations.</w:t>
      </w:r>
    </w:p>
    <w:p w:rsidR="00E11017" w:rsidRPr="00E11017" w:rsidRDefault="00E11017" w:rsidP="00E11017">
      <w:pPr>
        <w:widowControl/>
        <w:numPr>
          <w:ilvl w:val="1"/>
          <w:numId w:val="14"/>
        </w:numPr>
        <w:spacing w:line="212" w:lineRule="atLeast"/>
        <w:ind w:left="0"/>
        <w:rPr>
          <w:rFonts w:ascii="新細明體" w:eastAsia="新細明體" w:hAnsi="新細明體" w:cs="新細明體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Explores the controversial legal limits regarding how much an occupying force can alter the pre-existing domestic legal system of a captured territory. 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56595E"/>
          <w:spacing w:val="1"/>
          <w:kern w:val="0"/>
          <w:sz w:val="10"/>
        </w:rPr>
        <w:t>IIHL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pict>
          <v:rect id="_x0000_i1041" style="width:0;height:.45pt" o:hralign="center" o:hrstd="t" o:hr="t" fillcolor="#a0a0a0" stroked="f"/>
        </w:pict>
      </w:r>
    </w:p>
    <w:p w:rsidR="00E11017" w:rsidRPr="00E11017" w:rsidRDefault="00E11017" w:rsidP="00E11017">
      <w:pPr>
        <w:widowControl/>
        <w:spacing w:line="247" w:lineRule="atLeast"/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II. Specialized Case Studies &amp; Prolonged Occupations</w:t>
      </w:r>
    </w:p>
    <w:p w:rsidR="00E11017" w:rsidRPr="00E11017" w:rsidRDefault="00E11017" w:rsidP="00E11017">
      <w:pPr>
        <w:widowControl/>
        <w:spacing w:line="247" w:lineRule="atLeast"/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4. The Occupation of Justice: The Supreme Court of Israel and the Occupied Territories</w:t>
      </w:r>
    </w:p>
    <w:p w:rsidR="00E11017" w:rsidRPr="00E11017" w:rsidRDefault="00E11017" w:rsidP="00E11017">
      <w:pPr>
        <w:widowControl/>
        <w:numPr>
          <w:ilvl w:val="0"/>
          <w:numId w:val="15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Full Citation: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David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Kretzmer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&amp;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Yaël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Ronen, 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The Occupation of Justice: The Supreme Court of Israel and the Occupied Territories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(2d ed., Oxford University Press 2021).</w:t>
      </w:r>
    </w:p>
    <w:p w:rsidR="00E11017" w:rsidRPr="00E11017" w:rsidRDefault="00E11017" w:rsidP="00E11017">
      <w:pPr>
        <w:widowControl/>
        <w:numPr>
          <w:ilvl w:val="0"/>
          <w:numId w:val="15"/>
        </w:numPr>
        <w:spacing w:line="212" w:lineRule="atLeast"/>
        <w:ind w:left="0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Overview: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A highly specialized legal case study examining domestic judicial oversight during prolonged military operations.</w:t>
      </w:r>
    </w:p>
    <w:p w:rsidR="00E11017" w:rsidRPr="00E11017" w:rsidRDefault="00E11017" w:rsidP="00E11017">
      <w:pPr>
        <w:widowControl/>
        <w:numPr>
          <w:ilvl w:val="0"/>
          <w:numId w:val="15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Key Notations:</w:t>
      </w:r>
    </w:p>
    <w:p w:rsidR="00E11017" w:rsidRPr="00E11017" w:rsidRDefault="00E11017" w:rsidP="00E11017">
      <w:pPr>
        <w:widowControl/>
        <w:numPr>
          <w:ilvl w:val="1"/>
          <w:numId w:val="15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Systematically critiques how the High Court of Justice in Israel interprets and applies the international law of belligerent occupation.</w:t>
      </w:r>
    </w:p>
    <w:p w:rsidR="00E11017" w:rsidRPr="00E11017" w:rsidRDefault="00E11017" w:rsidP="00E11017">
      <w:pPr>
        <w:widowControl/>
        <w:numPr>
          <w:ilvl w:val="1"/>
          <w:numId w:val="15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Evaluates the specific jurisprudence governing highly controversial security measures, including land requisition, the establishment of civilian settlements, curfews, deportations, and punitive house demolitions.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5. Prolonged Occupation and International Law: Israel and Palestine</w:t>
      </w:r>
    </w:p>
    <w:p w:rsidR="00E11017" w:rsidRPr="00E11017" w:rsidRDefault="00E11017" w:rsidP="00E11017">
      <w:pPr>
        <w:widowControl/>
        <w:numPr>
          <w:ilvl w:val="0"/>
          <w:numId w:val="16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Full Citation: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Prolonged Occupation and International Law: Israel and Palestine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(Nada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Kiswanson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&amp; Susan Power eds., Brill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Nijhoff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2023).</w:t>
      </w:r>
    </w:p>
    <w:p w:rsidR="00E11017" w:rsidRPr="00E11017" w:rsidRDefault="00E11017" w:rsidP="00E11017">
      <w:pPr>
        <w:widowControl/>
        <w:numPr>
          <w:ilvl w:val="0"/>
          <w:numId w:val="16"/>
        </w:numPr>
        <w:spacing w:line="212" w:lineRule="atLeast"/>
        <w:ind w:left="0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Overview: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A contemporary anthology uniting global legal scholars to address the structural friction of multi-decade territorial administration.</w:t>
      </w:r>
    </w:p>
    <w:p w:rsidR="00E11017" w:rsidRPr="00E11017" w:rsidRDefault="00E11017" w:rsidP="00E11017">
      <w:pPr>
        <w:widowControl/>
        <w:numPr>
          <w:ilvl w:val="0"/>
          <w:numId w:val="16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Key Notations:</w:t>
      </w:r>
    </w:p>
    <w:p w:rsidR="00E11017" w:rsidRPr="00E11017" w:rsidRDefault="00E11017" w:rsidP="00E11017">
      <w:pPr>
        <w:widowControl/>
        <w:numPr>
          <w:ilvl w:val="1"/>
          <w:numId w:val="16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Focuses heavily on the legal tipping point where a temporary state of belligerent occupation risks transforming into a 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de facto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illegal permanent annexation.</w:t>
      </w:r>
    </w:p>
    <w:p w:rsidR="00E11017" w:rsidRPr="00E11017" w:rsidRDefault="00E11017" w:rsidP="00E11017">
      <w:pPr>
        <w:widowControl/>
        <w:numPr>
          <w:ilvl w:val="1"/>
          <w:numId w:val="16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Assesses the legal responsibilities of third-party states and international bodies when an occupation becomes structurally indefinite.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6. Revisiting the Law of Occupation</w:t>
      </w:r>
    </w:p>
    <w:p w:rsidR="00E11017" w:rsidRPr="00E11017" w:rsidRDefault="00E11017" w:rsidP="00E11017">
      <w:pPr>
        <w:widowControl/>
        <w:numPr>
          <w:ilvl w:val="0"/>
          <w:numId w:val="17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Full Citation: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Hanne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Cuyckens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, 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Revisiting the Law of Occupation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(Brill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Nijhoff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2018).</w:t>
      </w:r>
    </w:p>
    <w:p w:rsidR="00E11017" w:rsidRPr="00E11017" w:rsidRDefault="00E11017" w:rsidP="00E11017">
      <w:pPr>
        <w:widowControl/>
        <w:numPr>
          <w:ilvl w:val="0"/>
          <w:numId w:val="17"/>
        </w:numPr>
        <w:spacing w:line="212" w:lineRule="atLeast"/>
        <w:ind w:left="0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Overview: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This monograph tackles the functional breakdowns of traditional treaty laws when applied to asymmetric, long-standing modern conflicts.</w:t>
      </w:r>
    </w:p>
    <w:p w:rsidR="00E11017" w:rsidRPr="00E11017" w:rsidRDefault="00E11017" w:rsidP="00E11017">
      <w:pPr>
        <w:widowControl/>
        <w:numPr>
          <w:ilvl w:val="0"/>
          <w:numId w:val="17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Key Notations:</w:t>
      </w:r>
    </w:p>
    <w:p w:rsidR="00E11017" w:rsidRPr="00E11017" w:rsidRDefault="00E11017" w:rsidP="00E11017">
      <w:pPr>
        <w:widowControl/>
        <w:numPr>
          <w:ilvl w:val="1"/>
          <w:numId w:val="17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Argues that historical texts did not anticipate centuries-long or decades-long occupations.</w:t>
      </w:r>
    </w:p>
    <w:p w:rsidR="00E11017" w:rsidRPr="00E11017" w:rsidRDefault="00E11017" w:rsidP="00E11017">
      <w:pPr>
        <w:widowControl/>
        <w:numPr>
          <w:ilvl w:val="1"/>
          <w:numId w:val="17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Demonstrates how courts must use Human Rights treaties to fill legal gaps where traditional martial laws fail to protect civilian populations over long spans of time.</w:t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pict>
          <v:rect id="_x0000_i1042" style="width:0;height:.45pt" o:hralign="center" o:hrstd="t" o:hr="t" fillcolor="#a0a0a0" stroked="f"/>
        </w:pict>
      </w:r>
    </w:p>
    <w:p w:rsidR="00E11017" w:rsidRPr="00E11017" w:rsidRDefault="00E11017" w:rsidP="00E11017">
      <w:pPr>
        <w:widowControl/>
        <w:spacing w:line="247" w:lineRule="atLeast"/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III. Economic, Proxy, &amp; Historical Perspectives</w:t>
      </w:r>
    </w:p>
    <w:p w:rsidR="00E11017" w:rsidRPr="00E11017" w:rsidRDefault="00E11017" w:rsidP="00E11017">
      <w:pPr>
        <w:widowControl/>
        <w:spacing w:line="247" w:lineRule="atLeast"/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7. The Legality of Economic Activities in Occupied Territories</w:t>
      </w:r>
    </w:p>
    <w:p w:rsidR="00E11017" w:rsidRPr="00E11017" w:rsidRDefault="00E11017" w:rsidP="00E11017">
      <w:pPr>
        <w:widowControl/>
        <w:numPr>
          <w:ilvl w:val="0"/>
          <w:numId w:val="18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Full Citation: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The Legality of Economic Activities in Occupied Territories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(Antoine Duval &amp; Eva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Kassoti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eds.,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Routledge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2020).</w:t>
      </w:r>
    </w:p>
    <w:p w:rsidR="00E11017" w:rsidRPr="00E11017" w:rsidRDefault="00E11017" w:rsidP="00E11017">
      <w:pPr>
        <w:widowControl/>
        <w:numPr>
          <w:ilvl w:val="0"/>
          <w:numId w:val="18"/>
        </w:numPr>
        <w:spacing w:line="212" w:lineRule="atLeast"/>
        <w:ind w:left="0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lastRenderedPageBreak/>
        <w:t>Overview: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A niche volume looking strictly at the commercial, financial, and corporate parameters of international occupation law.</w:t>
      </w:r>
    </w:p>
    <w:p w:rsidR="00E11017" w:rsidRPr="00E11017" w:rsidRDefault="00E11017" w:rsidP="00E11017">
      <w:pPr>
        <w:widowControl/>
        <w:numPr>
          <w:ilvl w:val="0"/>
          <w:numId w:val="18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Key Notations:</w:t>
      </w:r>
    </w:p>
    <w:p w:rsidR="00E11017" w:rsidRPr="00E11017" w:rsidRDefault="00E11017" w:rsidP="00E11017">
      <w:pPr>
        <w:widowControl/>
        <w:numPr>
          <w:ilvl w:val="1"/>
          <w:numId w:val="18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Outlines the exact limits of the doctrine of 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usufruct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(how an occupying force may legally use public property and natural resources without destroying them).</w:t>
      </w:r>
    </w:p>
    <w:p w:rsidR="00E11017" w:rsidRPr="00E11017" w:rsidRDefault="00E11017" w:rsidP="00E11017">
      <w:pPr>
        <w:widowControl/>
        <w:numPr>
          <w:ilvl w:val="1"/>
          <w:numId w:val="18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Details corporate complicity, third-party state trading obligations, and business-related human rights duties in occupied zones.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8. Occupation and Control in International Humanitarian Law</w:t>
      </w:r>
    </w:p>
    <w:p w:rsidR="00E11017" w:rsidRPr="00E11017" w:rsidRDefault="00E11017" w:rsidP="00E11017">
      <w:pPr>
        <w:widowControl/>
        <w:numPr>
          <w:ilvl w:val="0"/>
          <w:numId w:val="19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Full Citation: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Natia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Kalandarishvili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-Mueller, 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Occupation and Control in International Humanitarian Law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(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Routledge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 2020).</w:t>
      </w:r>
    </w:p>
    <w:p w:rsidR="00E11017" w:rsidRPr="00E11017" w:rsidRDefault="00E11017" w:rsidP="00E11017">
      <w:pPr>
        <w:widowControl/>
        <w:numPr>
          <w:ilvl w:val="0"/>
          <w:numId w:val="19"/>
        </w:numPr>
        <w:spacing w:line="212" w:lineRule="atLeast"/>
        <w:ind w:left="0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Overview: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A detailed exploration of how modern combat changes the spatial definition of "effective military control."</w:t>
      </w:r>
    </w:p>
    <w:p w:rsidR="00E11017" w:rsidRPr="00E11017" w:rsidRDefault="00E11017" w:rsidP="00E11017">
      <w:pPr>
        <w:widowControl/>
        <w:numPr>
          <w:ilvl w:val="0"/>
          <w:numId w:val="19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Key Notations:</w:t>
      </w:r>
    </w:p>
    <w:p w:rsidR="00E11017" w:rsidRPr="00E11017" w:rsidRDefault="00E11017" w:rsidP="00E11017">
      <w:pPr>
        <w:widowControl/>
        <w:numPr>
          <w:ilvl w:val="1"/>
          <w:numId w:val="19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Provides a comprehensive legal breakdown of "occupation by proxy."</w:t>
      </w:r>
    </w:p>
    <w:p w:rsidR="00E11017" w:rsidRPr="00E11017" w:rsidRDefault="00E11017" w:rsidP="00E11017">
      <w:pPr>
        <w:widowControl/>
        <w:numPr>
          <w:ilvl w:val="1"/>
          <w:numId w:val="19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Evaluates situations where a foreign state does not deploy its own standing army, but instead exercises determinative military control through local surrogate militias, insurgent groups, or puppet regimes.</w:t>
      </w:r>
    </w:p>
    <w:p w:rsidR="00E11017" w:rsidRPr="00E11017" w:rsidRDefault="00E11017" w:rsidP="00E11017">
      <w:pPr>
        <w:widowControl/>
        <w:spacing w:line="247" w:lineRule="atLeast"/>
        <w:rPr>
          <w:rFonts w:ascii="新細明體" w:eastAsia="新細明體" w:hAnsi="新細明體" w:cs="新細明體"/>
          <w:b/>
          <w:bCs/>
          <w:color w:val="0A0A0A"/>
          <w:kern w:val="0"/>
          <w:sz w:val="18"/>
          <w:szCs w:val="18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8"/>
          <w:szCs w:val="18"/>
        </w:rPr>
        <w:t>9. A History of Military Occupation from 1792 To 1914</w:t>
      </w:r>
    </w:p>
    <w:p w:rsidR="00E11017" w:rsidRPr="00E11017" w:rsidRDefault="00E11017" w:rsidP="00E11017">
      <w:pPr>
        <w:widowControl/>
        <w:numPr>
          <w:ilvl w:val="0"/>
          <w:numId w:val="20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Full Citation: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 xml:space="preserve"> Peter M. R. </w:t>
      </w:r>
      <w:proofErr w:type="spellStart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Stirk</w:t>
      </w:r>
      <w:proofErr w:type="spellEnd"/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, </w:t>
      </w:r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 xml:space="preserve">A History of Military Occupation from 1792 </w:t>
      </w:r>
      <w:proofErr w:type="gramStart"/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>To</w:t>
      </w:r>
      <w:proofErr w:type="gramEnd"/>
      <w:r w:rsidRPr="00E11017">
        <w:rPr>
          <w:rFonts w:ascii="Arial" w:eastAsia="新細明體" w:hAnsi="Arial" w:cs="Arial"/>
          <w:i/>
          <w:iCs/>
          <w:color w:val="D93025"/>
          <w:spacing w:val="1"/>
          <w:kern w:val="0"/>
          <w:sz w:val="14"/>
        </w:rPr>
        <w:t xml:space="preserve"> 1914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(Edinburgh University Press 2016).</w:t>
      </w:r>
    </w:p>
    <w:p w:rsidR="00E11017" w:rsidRPr="00E11017" w:rsidRDefault="00E11017" w:rsidP="00E11017">
      <w:pPr>
        <w:widowControl/>
        <w:numPr>
          <w:ilvl w:val="0"/>
          <w:numId w:val="20"/>
        </w:numPr>
        <w:spacing w:line="212" w:lineRule="atLeast"/>
        <w:ind w:left="0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Overview: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 A foundational historical text documenting the evolution of the doctrine prior to the World Wars.</w:t>
      </w:r>
    </w:p>
    <w:p w:rsidR="00E11017" w:rsidRPr="00E11017" w:rsidRDefault="00E11017" w:rsidP="00E11017">
      <w:pPr>
        <w:widowControl/>
        <w:numPr>
          <w:ilvl w:val="0"/>
          <w:numId w:val="20"/>
        </w:numPr>
        <w:spacing w:line="212" w:lineRule="atLeast"/>
        <w:ind w:left="0"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Key Notations:</w:t>
      </w:r>
    </w:p>
    <w:p w:rsidR="00E11017" w:rsidRPr="00E11017" w:rsidRDefault="00E11017" w:rsidP="00E11017">
      <w:pPr>
        <w:widowControl/>
        <w:numPr>
          <w:ilvl w:val="1"/>
          <w:numId w:val="20"/>
        </w:numPr>
        <w:spacing w:line="212" w:lineRule="atLeast"/>
        <w:ind w:left="0"/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Charts the exact era during the long 19th century when the legal concept of temporary military occupation officially separated itself from the ancient practice of total territorial conquest.</w:t>
      </w:r>
    </w:p>
    <w:p w:rsidR="00E11017" w:rsidRPr="00E11017" w:rsidRDefault="00E11017" w:rsidP="00E11017">
      <w:pPr>
        <w:widowControl/>
        <w:numPr>
          <w:ilvl w:val="1"/>
          <w:numId w:val="20"/>
        </w:numPr>
        <w:spacing w:line="212" w:lineRule="atLeast"/>
        <w:ind w:left="0"/>
        <w:rPr>
          <w:rFonts w:ascii="新細明體" w:eastAsia="新細明體" w:hAnsi="新細明體" w:cs="新細明體"/>
          <w:color w:val="56595E"/>
          <w:kern w:val="0"/>
          <w:szCs w:val="2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Tracks these legal changes across European campaigns from the French Revolutionary Wars up to the prelude of WWI.</w:t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pict>
          <v:rect id="_x0000_i1043" style="width:0;height:.45pt" o:hralign="center" o:hrstd="t" o:hr="t" fillcolor="#a0a0a0" stroked="f"/>
        </w:pic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If you choose to use Google Docs or Word to convert this into a PDF, would you like me to add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specific page counts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,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ISBN numbers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, or change the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citation style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to an alternative format like APA or Harvard?</w:t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0A0A0A"/>
          <w:kern w:val="0"/>
          <w:szCs w:val="24"/>
        </w:rPr>
      </w:pPr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</w:rPr>
        <w:t xml:space="preserve">9 </w:t>
      </w:r>
      <w:proofErr w:type="gramStart"/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</w:rPr>
        <w:t>個</w:t>
      </w:r>
      <w:proofErr w:type="gramEnd"/>
      <w:r w:rsidRPr="00E11017">
        <w:rPr>
          <w:rFonts w:ascii="Arial" w:eastAsia="新細明體" w:hAnsi="Arial" w:cs="Arial"/>
          <w:b/>
          <w:bCs/>
          <w:color w:val="56595E"/>
          <w:kern w:val="0"/>
          <w:sz w:val="12"/>
        </w:rPr>
        <w:t>網站</w:t>
      </w:r>
    </w:p>
    <w:p w:rsidR="00E11017" w:rsidRPr="00E11017" w:rsidRDefault="00E11017" w:rsidP="00E11017">
      <w:pPr>
        <w:widowControl/>
        <w:numPr>
          <w:ilvl w:val="0"/>
          <w:numId w:val="21"/>
        </w:numPr>
        <w:ind w:left="0"/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t>Belligerent Occupation: Duties and Obligations of Occupying ...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1"/>
          <w:szCs w:val="11"/>
        </w:rPr>
      </w:pPr>
      <w:proofErr w:type="gramStart"/>
      <w:r w:rsidRPr="00E11017">
        <w:rPr>
          <w:rFonts w:ascii="Arial" w:eastAsia="新細明體" w:hAnsi="Arial" w:cs="Arial"/>
          <w:color w:val="56595E"/>
          <w:kern w:val="0"/>
          <w:sz w:val="11"/>
        </w:rPr>
        <w:t>applicable</w:t>
      </w:r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to belligerent occupation. Article 42 of The Hague Regulations is the accepted definition of what amounts to an </w:t>
      </w:r>
      <w:proofErr w:type="spellStart"/>
      <w:r w:rsidRPr="00E11017">
        <w:rPr>
          <w:rFonts w:ascii="Arial" w:eastAsia="新細明體" w:hAnsi="Arial" w:cs="Arial"/>
          <w:color w:val="56595E"/>
          <w:kern w:val="0"/>
          <w:sz w:val="11"/>
        </w:rPr>
        <w:t>occupat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>...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4"/>
          <w:szCs w:val="14"/>
        </w:rPr>
      </w:pPr>
    </w:p>
    <w:p w:rsidR="00E11017" w:rsidRPr="00E11017" w:rsidRDefault="00E11017" w:rsidP="00E11017">
      <w:pPr>
        <w:widowControl/>
        <w:shd w:val="clear" w:color="auto" w:fill="FFFFFF"/>
        <w:spacing w:line="141" w:lineRule="atLeast"/>
        <w:textAlignment w:val="center"/>
        <w:rPr>
          <w:rFonts w:ascii="Arial" w:eastAsia="新細明體" w:hAnsi="Arial" w:cs="Arial"/>
          <w:color w:val="0A0A0A"/>
          <w:kern w:val="0"/>
          <w:sz w:val="14"/>
          <w:szCs w:val="14"/>
        </w:rPr>
      </w:pP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1"/>
        </w:rPr>
        <w:t>IIHL</w:t>
      </w:r>
    </w:p>
    <w:p w:rsidR="00E11017" w:rsidRPr="00E11017" w:rsidRDefault="00E11017" w:rsidP="00E11017">
      <w:pPr>
        <w:widowControl/>
        <w:numPr>
          <w:ilvl w:val="0"/>
          <w:numId w:val="21"/>
        </w:numPr>
        <w:ind w:left="0"/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t xml:space="preserve">Ban Singh </w:t>
      </w:r>
      <w:proofErr w:type="spellStart"/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t>Tha</w:t>
      </w:r>
      <w:proofErr w:type="spellEnd"/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t xml:space="preserve"> - Wikipedia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1"/>
          <w:szCs w:val="11"/>
        </w:rPr>
      </w:pPr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Ban Singh </w:t>
      </w:r>
      <w:proofErr w:type="spellStart"/>
      <w:r w:rsidRPr="00E11017">
        <w:rPr>
          <w:rFonts w:ascii="Arial" w:eastAsia="新細明體" w:hAnsi="Arial" w:cs="Arial"/>
          <w:color w:val="56595E"/>
          <w:kern w:val="0"/>
          <w:sz w:val="11"/>
        </w:rPr>
        <w:t>Tha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(Thai: </w:t>
      </w:r>
      <w:proofErr w:type="spellStart"/>
      <w:proofErr w:type="gramStart"/>
      <w:r w:rsidRPr="00E11017">
        <w:rPr>
          <w:rFonts w:ascii="Tahoma" w:eastAsia="新細明體" w:hAnsi="Tahoma" w:cs="Tahoma"/>
          <w:color w:val="56595E"/>
          <w:kern w:val="0"/>
          <w:sz w:val="11"/>
        </w:rPr>
        <w:t>บ้านสิงห์ท่า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;</w:t>
      </w:r>
      <w:proofErr w:type="gram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also spelled Ban Sing </w:t>
      </w:r>
      <w:proofErr w:type="spellStart"/>
      <w:r w:rsidRPr="00E11017">
        <w:rPr>
          <w:rFonts w:ascii="Arial" w:eastAsia="新細明體" w:hAnsi="Arial" w:cs="Arial"/>
          <w:color w:val="56595E"/>
          <w:kern w:val="0"/>
          <w:sz w:val="11"/>
        </w:rPr>
        <w:t>Tha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, Baan Sing </w:t>
      </w:r>
      <w:proofErr w:type="spellStart"/>
      <w:r w:rsidRPr="00E11017">
        <w:rPr>
          <w:rFonts w:ascii="Arial" w:eastAsia="新細明體" w:hAnsi="Arial" w:cs="Arial"/>
          <w:color w:val="56595E"/>
          <w:kern w:val="0"/>
          <w:sz w:val="11"/>
        </w:rPr>
        <w:t>Tha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) is a historic </w:t>
      </w:r>
      <w:proofErr w:type="spellStart"/>
      <w:r w:rsidRPr="00E11017">
        <w:rPr>
          <w:rFonts w:ascii="Arial" w:eastAsia="新細明體" w:hAnsi="Arial" w:cs="Arial"/>
          <w:color w:val="56595E"/>
          <w:kern w:val="0"/>
          <w:sz w:val="11"/>
        </w:rPr>
        <w:t>neighbourhood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of </w:t>
      </w:r>
      <w:proofErr w:type="spellStart"/>
      <w:r w:rsidRPr="00E11017">
        <w:rPr>
          <w:rFonts w:ascii="Arial" w:eastAsia="新細明體" w:hAnsi="Arial" w:cs="Arial"/>
          <w:color w:val="56595E"/>
          <w:kern w:val="0"/>
          <w:sz w:val="11"/>
        </w:rPr>
        <w:t>Mueang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56595E"/>
          <w:kern w:val="0"/>
          <w:sz w:val="11"/>
        </w:rPr>
        <w:t>Yasothon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 </w:t>
      </w:r>
      <w:proofErr w:type="spellStart"/>
      <w:r w:rsidRPr="00E11017">
        <w:rPr>
          <w:rFonts w:ascii="Arial" w:eastAsia="新細明體" w:hAnsi="Arial" w:cs="Arial"/>
          <w:color w:val="56595E"/>
          <w:kern w:val="0"/>
          <w:sz w:val="11"/>
        </w:rPr>
        <w:t>Distr</w:t>
      </w:r>
      <w:proofErr w:type="spellEnd"/>
      <w:r w:rsidRPr="00E11017">
        <w:rPr>
          <w:rFonts w:ascii="Arial" w:eastAsia="新細明體" w:hAnsi="Arial" w:cs="Arial"/>
          <w:color w:val="56595E"/>
          <w:kern w:val="0"/>
          <w:sz w:val="11"/>
        </w:rPr>
        <w:t>...</w:t>
      </w:r>
    </w:p>
    <w:p w:rsidR="00E11017" w:rsidRPr="00E11017" w:rsidRDefault="00E11017" w:rsidP="00E11017">
      <w:pPr>
        <w:widowControl/>
        <w:shd w:val="clear" w:color="auto" w:fill="FFFFFF"/>
        <w:spacing w:line="141" w:lineRule="atLeast"/>
        <w:textAlignment w:val="center"/>
        <w:rPr>
          <w:rFonts w:ascii="Arial" w:eastAsia="新細明體" w:hAnsi="Arial" w:cs="Arial"/>
          <w:color w:val="0A0A0A"/>
          <w:kern w:val="0"/>
          <w:sz w:val="14"/>
          <w:szCs w:val="14"/>
        </w:rPr>
      </w:pP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1"/>
        </w:rPr>
        <w:t>Wikipedia</w:t>
      </w:r>
    </w:p>
    <w:p w:rsidR="00E11017" w:rsidRPr="00E11017" w:rsidRDefault="00E11017" w:rsidP="00E11017">
      <w:pPr>
        <w:widowControl/>
        <w:numPr>
          <w:ilvl w:val="0"/>
          <w:numId w:val="21"/>
        </w:numPr>
        <w:ind w:left="0"/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b/>
          <w:bCs/>
          <w:color w:val="0A0A0A"/>
          <w:kern w:val="0"/>
          <w:sz w:val="12"/>
          <w:szCs w:val="12"/>
        </w:rPr>
        <w:t>翻譯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1"/>
          <w:szCs w:val="11"/>
        </w:rPr>
      </w:pPr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Google </w:t>
      </w:r>
      <w:r w:rsidRPr="00E11017">
        <w:rPr>
          <w:rFonts w:ascii="Arial" w:eastAsia="新細明體" w:hAnsi="Arial" w:cs="Arial"/>
          <w:color w:val="56595E"/>
          <w:kern w:val="0"/>
          <w:sz w:val="11"/>
        </w:rPr>
        <w:t>提供的服務無須支付費用，可讓您即時翻譯英文和超過</w:t>
      </w:r>
      <w:r w:rsidRPr="00E11017">
        <w:rPr>
          <w:rFonts w:ascii="Arial" w:eastAsia="新細明體" w:hAnsi="Arial" w:cs="Arial"/>
          <w:color w:val="56595E"/>
          <w:kern w:val="0"/>
          <w:sz w:val="11"/>
        </w:rPr>
        <w:t xml:space="preserve">100 </w:t>
      </w:r>
      <w:r w:rsidRPr="00E11017">
        <w:rPr>
          <w:rFonts w:ascii="Arial" w:eastAsia="新細明體" w:hAnsi="Arial" w:cs="Arial"/>
          <w:color w:val="56595E"/>
          <w:kern w:val="0"/>
          <w:sz w:val="11"/>
        </w:rPr>
        <w:t>種其他語言的文字、詞組和網頁。</w:t>
      </w:r>
    </w:p>
    <w:p w:rsidR="00E11017" w:rsidRPr="00E11017" w:rsidRDefault="00E11017" w:rsidP="00E11017">
      <w:pPr>
        <w:widowControl/>
        <w:shd w:val="clear" w:color="auto" w:fill="FFFFFF"/>
        <w:spacing w:line="141" w:lineRule="atLeast"/>
        <w:textAlignment w:val="center"/>
        <w:rPr>
          <w:rFonts w:ascii="Arial" w:eastAsia="新細明體" w:hAnsi="Arial" w:cs="Arial"/>
          <w:color w:val="0A0A0A"/>
          <w:kern w:val="0"/>
          <w:sz w:val="14"/>
          <w:szCs w:val="14"/>
        </w:rPr>
      </w:pP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56595E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1"/>
        </w:rPr>
        <w:t>Google Translate</w:t>
      </w:r>
    </w:p>
    <w:p w:rsidR="00E11017" w:rsidRPr="00E11017" w:rsidRDefault="00E11017" w:rsidP="00E11017">
      <w:pPr>
        <w:widowControl/>
        <w:shd w:val="clear" w:color="auto" w:fill="E9EBF0"/>
        <w:rPr>
          <w:rFonts w:ascii="Arial" w:eastAsia="新細明體" w:hAnsi="Arial" w:cs="Arial"/>
          <w:color w:val="0A0A0A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</w:rPr>
        <w:t>顯示全部</w:t>
      </w:r>
    </w:p>
    <w:p w:rsidR="00E11017" w:rsidRPr="00E11017" w:rsidRDefault="00E11017" w:rsidP="00E11017">
      <w:pPr>
        <w:widowControl/>
        <w:shd w:val="clear" w:color="auto" w:fill="F0F2F5"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4"/>
        </w:rPr>
        <w:t>半形</w: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lastRenderedPageBreak/>
        <w:t>收到！以下為您將上述的所有書籍書目、詳細註記與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 xml:space="preserve">Bluebook 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標準法律文獻引用格式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，全部轉換為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半形字元（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Half-width characters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）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</w:rPr>
        <w:t>的排版。</w:t>
      </w:r>
    </w:p>
    <w:p w:rsidR="00E11017" w:rsidRPr="00E11017" w:rsidRDefault="00E11017" w:rsidP="00E11017">
      <w:pPr>
        <w:widowControl/>
        <w:spacing w:line="212" w:lineRule="atLeast"/>
        <w:rPr>
          <w:rFonts w:ascii="Arial" w:eastAsia="新細明體" w:hAnsi="Arial" w:cs="Arial"/>
          <w:color w:val="56595E"/>
          <w:spacing w:val="1"/>
          <w:kern w:val="0"/>
          <w:sz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您可以直接複製下方框內的文字，貼上至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 xml:space="preserve"> Microsoft Word 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或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 xml:space="preserve"> Google Docs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，接著選擇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「檔案」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 xml:space="preserve"> &gt; 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「另存新檔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 xml:space="preserve"> / 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下載」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 xml:space="preserve"> &gt; 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「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 xml:space="preserve">PDF 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文件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 xml:space="preserve"> (.</w:t>
      </w:r>
      <w:proofErr w:type="spellStart"/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pdf</w:t>
      </w:r>
      <w:proofErr w:type="spellEnd"/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)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」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，就能成功在您的電腦磁碟中保存這份乾淨的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 xml:space="preserve"> PDF 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文件了。</w:t>
      </w:r>
    </w:p>
    <w:p w:rsidR="00E11017" w:rsidRPr="00E11017" w:rsidRDefault="00E11017" w:rsidP="00E11017">
      <w:pPr>
        <w:widowControl/>
        <w:rPr>
          <w:rFonts w:ascii="新細明體" w:eastAsia="新細明體" w:hAnsi="新細明體" w:cs="新細明體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pict>
          <v:rect id="_x0000_i1044" style="width:0;height:.45pt" o:hralign="center" o:hrstd="t" o:hr="t" fillcolor="#a0a0a0" stroked="f"/>
        </w:pict>
      </w:r>
    </w:p>
    <w:p w:rsidR="00E11017" w:rsidRPr="00E11017" w:rsidRDefault="00E11017" w:rsidP="00E11017">
      <w:pPr>
        <w:widowControl/>
        <w:shd w:val="clear" w:color="auto" w:fill="F0F2F5"/>
        <w:spacing w:line="230" w:lineRule="atLeast"/>
        <w:rPr>
          <w:rFonts w:ascii="Arial" w:eastAsia="新細明體" w:hAnsi="Arial" w:cs="Arial"/>
          <w:color w:val="0A0A0A"/>
          <w:spacing w:val="1"/>
          <w:kern w:val="0"/>
          <w:sz w:val="18"/>
          <w:szCs w:val="18"/>
        </w:rPr>
      </w:pPr>
      <w:proofErr w:type="gramStart"/>
      <w:r w:rsidRPr="00E11017">
        <w:rPr>
          <w:rFonts w:ascii="Arial" w:eastAsia="新細明體" w:hAnsi="Arial" w:cs="Arial"/>
          <w:color w:val="0A0A0A"/>
          <w:spacing w:val="1"/>
          <w:kern w:val="0"/>
          <w:sz w:val="18"/>
          <w:szCs w:val="18"/>
        </w:rPr>
        <w:t>markdown</w:t>
      </w:r>
      <w:proofErr w:type="gramEnd"/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 Bibliography: The International Law of Belligerent Occupation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Subject Classification: International Humanitarian Law (IHL) / Law of Armed Conflict (LOAC)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---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 I. Core Legal Frameworks &amp; Definitive Textbooks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1. The International Law of Belligerent Occupation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Full Citation: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Yoram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Dinstein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, 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The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International Law of Belligerent Occupation (2d ed., Cambridge University Press 2019).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Overview: Widely considered the definitive global textbook on the subject.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Dinstein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provides an exhaustive evaluation of customary international law rooted in the 1907 Hague Regulations and the 1949 Fourth Geneva Convention.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Key Notations: 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Dedicates significant analysis to the temporal thresholds of occupation (determining the precise legal moment an occupation begins and when it legally terminates).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Examines the structural friction between traditional martial law regimes and modern international human rights law (IHRL).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Anchors abstract theory in practical state practice, heavily referencing the decades-long Israeli occupation, alongside the legal landscapes of post-2003 Iraq, the former Yugoslavia, and the Democratic Republic of the Congo.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2. The International Law of Occupation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Full Citation: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Eyal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Benvenisti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, 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The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International Law of Occupation (2d ed., Princeton University Press 2012).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Overview: A premier academic text that traces the evolution of territorial control from 19th-century concepts of interstate war to modern asymmetrical conflicts.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lastRenderedPageBreak/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Key Notations: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Formulates a modernized theory of governance for foreign territories seized via the unilateral use of military force.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Critically assesses the unique legal duties that arise when an occupying power must interact with collapsed local institutions or deeply hostile, ousted sovereign governments.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3. Occupation in International Law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Full Citation: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Eliav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Lieblich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&amp;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Eyal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Benvenisti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, Occupation in International Law (Oxford University Press 2021).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Overview: Part of the Oxford Elements of International Law series, this monograph serves as an accessible yet analytically rigorous introduction to core legal dilemmas.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Key Notations: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Excellent for practitioners requiring a concise baseline on the "notion of control" under Article 42 of the Hague Regulations.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Explores the controversial legal limits regarding how much an occupying force can alter the pre-existing domestic legal system of a captured territory.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---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 II. Specialized Case Studies &amp; Prolonged Occupations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4. The Occupation of Justice: The Supreme Court of Israel and the Occupied Territories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Full Citation: David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Kretzmer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&amp;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Yaël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Ronen, The Occupation of Justice: The Supreme Court of Israel and the Occupied Territories (2d ed., Oxford University Press 2021).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Overview: A highly specialized legal case study examining domestic judicial oversight during prolonged military operations.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Key Notations: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Systematically critiques how the High Court of Justice in Israel interprets and applies the international law of belligerent occupation.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Evaluates the specific jurisprudence governing highly controversial security measures, including land requisition, the establishment of civilian settlements, curfews, deportations, and punitive house demolitions.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5. Prolonged Occupation and International Law: Israel and Palestine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Full Citation: Prolonged Occupation and International Law: Israel and Palestine (Nada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Kiswanson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&amp; Susan Power eds., Brill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Nijhoff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2023).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Overview: A contemporary anthology uniting global legal scholars to address the structural friction of multi-decade territorial administration.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Key Notations: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Focuses heavily on the legal tipping point where a temporary state of belligerent occupation risks transforming into a de facto illegal permanent annexation.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Assesses the legal responsibilities of third-party states and international bodies when an occupation becomes structurally indefinite.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6. Revisiting the Law of Occupation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Full Citation: Hanne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Cuyckens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, Revisiting the Law of Occupation (Brill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Nijhoff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2018).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Overview: This monograph tackles the functional breakdowns of traditional treaty laws when applied to asymmetric, long-standing modern conflicts.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Key Notations: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Argues that historical texts did not anticipate centuries-long or decades-long occupations.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Demonstrates how courts must use Human Rights treaties to fill legal gaps where traditional martial laws fail to protect civilian populations over long spans of time.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---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 III. Economic, Proxy, &amp; Historical Perspectives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7. The Legality of Economic Activities in Occupied Territories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Full Citation: The Legality of Economic Activities in Occupied Territories (Antoine Duval &amp; Eva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Kassoti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eds.,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Routledge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2020).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Overview: A niche volume looking strictly at the commercial, financial, and corporate parameters of international occupation law.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Key Notations: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lastRenderedPageBreak/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Outlines the exact limits of the doctrine of usufruct (how an occupying force may legally use public property and natural resources without destroying them).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Details corporate complicity, third-party state trading obligations, and business-related human rights duties in occupied zones.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8. Occupation and Control in International Humanitarian Law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Full Citation: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Natia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Kalandarishvili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-Mueller, Occupation and Control in International Humanitarian Law (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Routledge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2020).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Overview: A detailed exploration of how modern combat changes the spatial definition of "effective military control."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Key Notations: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Provides a comprehensive legal breakdown of "occupation by proxy."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Evaluates situations where a foreign state does not deploy its own standing army, but instead exercises determinative military control through local surrogate militias, insurgent groups, or puppet regimes.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9334E6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>### 9. A History of Military Occupation from 1792 To 1914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Full Citation: Peter M. R. </w:t>
      </w:r>
      <w:proofErr w:type="spell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Stirk</w:t>
      </w:r>
      <w:proofErr w:type="spell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, A History of Military Occupation from 1792 </w:t>
      </w:r>
      <w:proofErr w:type="gramStart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To</w:t>
      </w:r>
      <w:proofErr w:type="gramEnd"/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1914 (Edinburgh University Press 2016).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Overview: A foundational historical text documenting the evolution of the doctrine prior to the World Wars.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Key Notations: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Charts the exact era during the long 19th century when the legal concept of temporary military occupation officially separated itself from the ancient practice of total territorial conquest.</w:t>
      </w:r>
    </w:p>
    <w:p w:rsidR="00E11017" w:rsidRPr="00E11017" w:rsidRDefault="00E11017" w:rsidP="00E11017">
      <w:pPr>
        <w:widowControl/>
        <w:shd w:val="clear" w:color="auto" w:fill="F0F2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94" w:lineRule="atLeast"/>
        <w:rPr>
          <w:rFonts w:ascii="細明體" w:eastAsia="細明體" w:hAnsi="細明體" w:cs="細明體"/>
          <w:color w:val="0A0A0A"/>
          <w:kern w:val="0"/>
          <w:szCs w:val="24"/>
        </w:rPr>
      </w:pP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 xml:space="preserve">  </w:t>
      </w:r>
      <w:r w:rsidRPr="00E11017">
        <w:rPr>
          <w:rFonts w:ascii="細明體" w:eastAsia="細明體" w:hAnsi="細明體" w:cs="細明體"/>
          <w:color w:val="9334E6"/>
          <w:kern w:val="0"/>
          <w:szCs w:val="24"/>
        </w:rPr>
        <w:t xml:space="preserve">* </w:t>
      </w:r>
      <w:r w:rsidRPr="00E11017">
        <w:rPr>
          <w:rFonts w:ascii="細明體" w:eastAsia="細明體" w:hAnsi="細明體" w:cs="細明體"/>
          <w:color w:val="0A0A0A"/>
          <w:kern w:val="0"/>
          <w:szCs w:val="24"/>
        </w:rPr>
        <w:t>Tracks these legal changes across European campaigns from the French Revolutionary Wars up to the prelude of WWI.</w:t>
      </w:r>
    </w:p>
    <w:p w:rsidR="00E11017" w:rsidRPr="00E11017" w:rsidRDefault="00E11017" w:rsidP="00E11017">
      <w:pPr>
        <w:widowControl/>
        <w:shd w:val="clear" w:color="auto" w:fill="F0F2F5"/>
        <w:rPr>
          <w:rFonts w:ascii="Arial" w:eastAsia="新細明體" w:hAnsi="Arial" w:cs="Arial"/>
          <w:color w:val="0A0A0A"/>
          <w:kern w:val="0"/>
          <w:sz w:val="11"/>
          <w:szCs w:val="11"/>
        </w:rPr>
      </w:pPr>
      <w:r w:rsidRPr="00E11017">
        <w:rPr>
          <w:rFonts w:ascii="Arial" w:eastAsia="新細明體" w:hAnsi="Arial" w:cs="Arial"/>
          <w:color w:val="0A0A0A"/>
          <w:kern w:val="0"/>
          <w:sz w:val="11"/>
          <w:szCs w:val="11"/>
        </w:rPr>
        <w:t>請謹慎使用程式碼。</w:t>
      </w:r>
    </w:p>
    <w:p w:rsidR="00E11017" w:rsidRPr="00E11017" w:rsidRDefault="00E11017" w:rsidP="00E11017">
      <w:pPr>
        <w:widowControl/>
        <w:rPr>
          <w:rFonts w:ascii="Arial" w:eastAsia="新細明體" w:hAnsi="Arial" w:cs="Arial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pict>
          <v:rect id="_x0000_i1045" style="width:0;height:.45pt" o:hralign="center" o:hrstd="t" o:hr="t" fillcolor="#a0a0a0" stroked="f"/>
        </w:pict>
      </w:r>
    </w:p>
    <w:p w:rsidR="00E11017" w:rsidRPr="00E11017" w:rsidRDefault="00E11017" w:rsidP="00E11017">
      <w:pPr>
        <w:widowControl/>
        <w:spacing w:line="212" w:lineRule="atLeast"/>
        <w:rPr>
          <w:rFonts w:ascii="新細明體" w:eastAsia="新細明體" w:hAnsi="新細明體" w:cs="新細明體"/>
          <w:color w:val="56595E"/>
          <w:spacing w:val="1"/>
          <w:kern w:val="0"/>
          <w:sz w:val="14"/>
          <w:szCs w:val="14"/>
        </w:rPr>
      </w:pP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若您在貼上至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 xml:space="preserve"> Word 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或轉換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 xml:space="preserve"> PDF 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的過程中遇到任何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排版跑掉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、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亂碼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的問題，或者需要我為您補充任何書籍的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 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 xml:space="preserve">ISBN </w:t>
      </w:r>
      <w:r w:rsidRPr="00E11017">
        <w:rPr>
          <w:rFonts w:ascii="Arial" w:eastAsia="新細明體" w:hAnsi="Arial" w:cs="Arial"/>
          <w:b/>
          <w:bCs/>
          <w:color w:val="0A0A0A"/>
          <w:spacing w:val="1"/>
          <w:kern w:val="0"/>
          <w:sz w:val="14"/>
        </w:rPr>
        <w:t>序號</w:t>
      </w:r>
      <w:r w:rsidRPr="00E11017">
        <w:rPr>
          <w:rFonts w:ascii="Arial" w:eastAsia="新細明體" w:hAnsi="Arial" w:cs="Arial"/>
          <w:color w:val="0A0A0A"/>
          <w:spacing w:val="1"/>
          <w:kern w:val="0"/>
          <w:sz w:val="14"/>
          <w:szCs w:val="14"/>
        </w:rPr>
        <w:t>，隨時可以告訴我！</w:t>
      </w:r>
    </w:p>
    <w:p w:rsidR="00E11017" w:rsidRPr="00E11017" w:rsidRDefault="00E11017" w:rsidP="00E11017">
      <w:pPr>
        <w:widowControl/>
        <w:spacing w:line="0" w:lineRule="atLeast"/>
        <w:rPr>
          <w:rFonts w:ascii="新細明體" w:eastAsia="新細明體" w:hAnsi="新細明體" w:cs="新細明體"/>
          <w:color w:val="0A0A0A"/>
          <w:kern w:val="0"/>
          <w:sz w:val="12"/>
          <w:szCs w:val="12"/>
        </w:rPr>
      </w:pPr>
      <w:r w:rsidRPr="00E11017">
        <w:rPr>
          <w:rFonts w:ascii="Arial" w:eastAsia="新細明體" w:hAnsi="Arial" w:cs="Arial"/>
          <w:color w:val="0A0A0A"/>
          <w:kern w:val="0"/>
          <w:sz w:val="12"/>
          <w:szCs w:val="1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9" type="#_x0000_t75" style="width:150.65pt;height:57pt" o:ole="">
            <v:imagedata r:id="rId24" o:title=""/>
          </v:shape>
          <w:control r:id="rId25" w:name="DefaultOcxName" w:shapeid="_x0000_i1069"/>
        </w:object>
      </w:r>
    </w:p>
    <w:p w:rsidR="00E11017" w:rsidRDefault="00E11017"/>
    <w:sectPr w:rsidR="00E11017" w:rsidSect="00B410A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5CD3"/>
    <w:multiLevelType w:val="multilevel"/>
    <w:tmpl w:val="AE08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D77330"/>
    <w:multiLevelType w:val="multilevel"/>
    <w:tmpl w:val="92040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755681"/>
    <w:multiLevelType w:val="multilevel"/>
    <w:tmpl w:val="CA162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CA110E"/>
    <w:multiLevelType w:val="multilevel"/>
    <w:tmpl w:val="0000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DD7362"/>
    <w:multiLevelType w:val="multilevel"/>
    <w:tmpl w:val="69848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093ADE"/>
    <w:multiLevelType w:val="multilevel"/>
    <w:tmpl w:val="251E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737A70"/>
    <w:multiLevelType w:val="multilevel"/>
    <w:tmpl w:val="D1CE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BD7CF0"/>
    <w:multiLevelType w:val="multilevel"/>
    <w:tmpl w:val="BA084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663C44"/>
    <w:multiLevelType w:val="multilevel"/>
    <w:tmpl w:val="264C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20453C"/>
    <w:multiLevelType w:val="multilevel"/>
    <w:tmpl w:val="7E82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DB7C44"/>
    <w:multiLevelType w:val="multilevel"/>
    <w:tmpl w:val="1328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1D6261"/>
    <w:multiLevelType w:val="multilevel"/>
    <w:tmpl w:val="B95C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4D0567"/>
    <w:multiLevelType w:val="multilevel"/>
    <w:tmpl w:val="EF147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645881"/>
    <w:multiLevelType w:val="multilevel"/>
    <w:tmpl w:val="0E3E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F30195"/>
    <w:multiLevelType w:val="multilevel"/>
    <w:tmpl w:val="D2C2D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874B27"/>
    <w:multiLevelType w:val="multilevel"/>
    <w:tmpl w:val="C97E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060479"/>
    <w:multiLevelType w:val="multilevel"/>
    <w:tmpl w:val="93A4A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B9631B"/>
    <w:multiLevelType w:val="multilevel"/>
    <w:tmpl w:val="B790C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155FD4"/>
    <w:multiLevelType w:val="multilevel"/>
    <w:tmpl w:val="4996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195201"/>
    <w:multiLevelType w:val="multilevel"/>
    <w:tmpl w:val="5374F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F191B"/>
    <w:multiLevelType w:val="multilevel"/>
    <w:tmpl w:val="8AAC9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0"/>
  </w:num>
  <w:num w:numId="5">
    <w:abstractNumId w:val="3"/>
  </w:num>
  <w:num w:numId="6">
    <w:abstractNumId w:val="19"/>
  </w:num>
  <w:num w:numId="7">
    <w:abstractNumId w:val="5"/>
  </w:num>
  <w:num w:numId="8">
    <w:abstractNumId w:val="4"/>
  </w:num>
  <w:num w:numId="9">
    <w:abstractNumId w:val="11"/>
  </w:num>
  <w:num w:numId="10">
    <w:abstractNumId w:val="6"/>
  </w:num>
  <w:num w:numId="11">
    <w:abstractNumId w:val="16"/>
  </w:num>
  <w:num w:numId="12">
    <w:abstractNumId w:val="20"/>
  </w:num>
  <w:num w:numId="13">
    <w:abstractNumId w:val="9"/>
  </w:num>
  <w:num w:numId="14">
    <w:abstractNumId w:val="14"/>
  </w:num>
  <w:num w:numId="15">
    <w:abstractNumId w:val="12"/>
  </w:num>
  <w:num w:numId="16">
    <w:abstractNumId w:val="15"/>
  </w:num>
  <w:num w:numId="17">
    <w:abstractNumId w:val="0"/>
  </w:num>
  <w:num w:numId="18">
    <w:abstractNumId w:val="1"/>
  </w:num>
  <w:num w:numId="19">
    <w:abstractNumId w:val="13"/>
  </w:num>
  <w:num w:numId="20">
    <w:abstractNumId w:val="17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11017"/>
    <w:rsid w:val="00104DC9"/>
    <w:rsid w:val="00130917"/>
    <w:rsid w:val="001E5A75"/>
    <w:rsid w:val="002F149C"/>
    <w:rsid w:val="00540753"/>
    <w:rsid w:val="00676EA0"/>
    <w:rsid w:val="00882314"/>
    <w:rsid w:val="00892D85"/>
    <w:rsid w:val="00895196"/>
    <w:rsid w:val="00A31558"/>
    <w:rsid w:val="00A82B25"/>
    <w:rsid w:val="00B410AD"/>
    <w:rsid w:val="00D73651"/>
    <w:rsid w:val="00E11017"/>
    <w:rsid w:val="00F8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0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1017"/>
    <w:rPr>
      <w:color w:val="0000FF"/>
      <w:u w:val="single"/>
    </w:rPr>
  </w:style>
  <w:style w:type="character" w:customStyle="1" w:styleId="r1qwuf">
    <w:name w:val="r1qwuf"/>
    <w:basedOn w:val="a0"/>
    <w:rsid w:val="00E11017"/>
  </w:style>
  <w:style w:type="character" w:customStyle="1" w:styleId="bn6gpe">
    <w:name w:val="bn6gpe"/>
    <w:basedOn w:val="a0"/>
    <w:rsid w:val="00E11017"/>
  </w:style>
  <w:style w:type="character" w:customStyle="1" w:styleId="vndci">
    <w:name w:val="vndci"/>
    <w:basedOn w:val="a0"/>
    <w:rsid w:val="00E11017"/>
  </w:style>
  <w:style w:type="character" w:styleId="a4">
    <w:name w:val="Strong"/>
    <w:basedOn w:val="a0"/>
    <w:uiPriority w:val="22"/>
    <w:qFormat/>
    <w:rsid w:val="00E11017"/>
    <w:rPr>
      <w:b/>
      <w:bCs/>
    </w:rPr>
  </w:style>
  <w:style w:type="character" w:styleId="a5">
    <w:name w:val="Emphasis"/>
    <w:basedOn w:val="a0"/>
    <w:uiPriority w:val="20"/>
    <w:qFormat/>
    <w:rsid w:val="00E11017"/>
    <w:rPr>
      <w:i/>
      <w:iCs/>
    </w:rPr>
  </w:style>
  <w:style w:type="character" w:customStyle="1" w:styleId="inqyif">
    <w:name w:val="inqyif"/>
    <w:basedOn w:val="a0"/>
    <w:rsid w:val="00E11017"/>
  </w:style>
  <w:style w:type="character" w:customStyle="1" w:styleId="nmq1me">
    <w:name w:val="nmq1me"/>
    <w:basedOn w:val="a0"/>
    <w:rsid w:val="00E11017"/>
  </w:style>
  <w:style w:type="character" w:customStyle="1" w:styleId="qnca8b">
    <w:name w:val="qnca8b"/>
    <w:basedOn w:val="a0"/>
    <w:rsid w:val="00E11017"/>
  </w:style>
  <w:style w:type="character" w:customStyle="1" w:styleId="okuhje">
    <w:name w:val="okuhje"/>
    <w:basedOn w:val="a0"/>
    <w:rsid w:val="00E11017"/>
  </w:style>
  <w:style w:type="character" w:customStyle="1" w:styleId="pxxqye">
    <w:name w:val="pxxqye"/>
    <w:basedOn w:val="a0"/>
    <w:rsid w:val="00E11017"/>
  </w:style>
  <w:style w:type="character" w:customStyle="1" w:styleId="lqfa5">
    <w:name w:val="lqfa5"/>
    <w:basedOn w:val="a0"/>
    <w:rsid w:val="00E11017"/>
  </w:style>
  <w:style w:type="character" w:customStyle="1" w:styleId="hxiqcc">
    <w:name w:val="hxiqcc"/>
    <w:basedOn w:val="a0"/>
    <w:rsid w:val="00E11017"/>
  </w:style>
  <w:style w:type="character" w:customStyle="1" w:styleId="esfokc">
    <w:name w:val="esfokc"/>
    <w:basedOn w:val="a0"/>
    <w:rsid w:val="00E11017"/>
  </w:style>
  <w:style w:type="character" w:customStyle="1" w:styleId="i6hkm">
    <w:name w:val="i6hkm"/>
    <w:basedOn w:val="a0"/>
    <w:rsid w:val="00E11017"/>
  </w:style>
  <w:style w:type="character" w:styleId="HTML">
    <w:name w:val="HTML Code"/>
    <w:basedOn w:val="a0"/>
    <w:uiPriority w:val="99"/>
    <w:semiHidden/>
    <w:unhideWhenUsed/>
    <w:rsid w:val="00E11017"/>
    <w:rPr>
      <w:rFonts w:ascii="細明體" w:eastAsia="細明體" w:hAnsi="細明體" w:cs="細明體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E110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1">
    <w:name w:val="HTML 預設格式 字元"/>
    <w:basedOn w:val="a0"/>
    <w:link w:val="HTML0"/>
    <w:uiPriority w:val="99"/>
    <w:semiHidden/>
    <w:rsid w:val="00E11017"/>
    <w:rPr>
      <w:rFonts w:ascii="細明體" w:eastAsia="細明體" w:hAnsi="細明體" w:cs="細明體"/>
      <w:kern w:val="0"/>
      <w:szCs w:val="24"/>
    </w:rPr>
  </w:style>
  <w:style w:type="character" w:customStyle="1" w:styleId="mexsqb">
    <w:name w:val="mexsqb"/>
    <w:basedOn w:val="a0"/>
    <w:rsid w:val="00E11017"/>
  </w:style>
  <w:style w:type="character" w:customStyle="1" w:styleId="undefined">
    <w:name w:val="undefined"/>
    <w:basedOn w:val="a0"/>
    <w:rsid w:val="00E11017"/>
  </w:style>
  <w:style w:type="paragraph" w:styleId="a6">
    <w:name w:val="Balloon Text"/>
    <w:basedOn w:val="a"/>
    <w:link w:val="a7"/>
    <w:uiPriority w:val="99"/>
    <w:semiHidden/>
    <w:unhideWhenUsed/>
    <w:rsid w:val="00E110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E110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4932">
              <w:marLeft w:val="0"/>
              <w:marRight w:val="0"/>
              <w:marTop w:val="707"/>
              <w:marBottom w:val="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6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19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809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72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52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927292">
                                              <w:marLeft w:val="-10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962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91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898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1980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0939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4784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2048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30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4699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2853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0161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483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578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78376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474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922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050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093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50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59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315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75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14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5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17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126987">
                                          <w:marLeft w:val="0"/>
                                          <w:marRight w:val="35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155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267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817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8355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422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5753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8237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55933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2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275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5439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47673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29377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05782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109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7255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43185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28766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83044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27703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71762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958019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28438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36299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388946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08141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442761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278838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79794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83168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65135186">
                                                                                                              <w:marLeft w:val="0"/>
                                                                                                              <w:marRight w:val="71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09675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56203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91993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66203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45496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07171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690575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27263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80175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785178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567492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3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91014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4041829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836595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85691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300438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80704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058804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7843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08822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85924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7931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3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72639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801302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94984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19778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574622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52308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616599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39273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380408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67442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3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318052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308308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30345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05332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565520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713801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94010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3217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6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24174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4219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9595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52277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29201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68282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81373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841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33029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2008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8129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1770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690416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673606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14916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13323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5" w:color="F0F2F5"/>
                                                                                                            <w:left w:val="single" w:sz="2" w:space="7" w:color="F0F2F5"/>
                                                                                                            <w:bottom w:val="single" w:sz="2" w:space="0" w:color="F0F2F5"/>
                                                                                                            <w:right w:val="single" w:sz="2" w:space="7" w:color="F0F2F5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720122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24357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615716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01326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27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F0F2F5"/>
                                                                                                            <w:left w:val="single" w:sz="2" w:space="7" w:color="F0F2F5"/>
                                                                                                            <w:bottom w:val="single" w:sz="2" w:space="0" w:color="F0F2F5"/>
                                                                                                            <w:right w:val="single" w:sz="2" w:space="7" w:color="F0F2F5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33144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35185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694958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7174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49358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64498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74311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54274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048517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40583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30167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14614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557005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3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64155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213298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92009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91688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8288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254702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512092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8792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37793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415106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090213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3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953220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86427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985997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153122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63040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549675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0295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6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6026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8619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3992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8728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25414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76984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4597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1023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2621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532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723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08820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25488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750426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523761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573473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322775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153063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038894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315953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06500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108636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444744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2471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95852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40044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34837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27334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104157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70203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73241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703709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3420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3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139270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852387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099587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42742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867563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699047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394439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36204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12018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780659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7387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3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3501762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989406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388705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17521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50405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525709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928522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46631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10626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4417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86380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3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9339764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925645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534007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60547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11313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849690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97350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85273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4867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6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6574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96013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1852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52269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48512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71040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9241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2742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62289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37442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4329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57861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024583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7990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898606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46147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480229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63167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37359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487024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613830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64697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07860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24102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211907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440575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443887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27119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39057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796153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532111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544849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3299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8696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61183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0956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1899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45438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83389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4174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426940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088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356695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3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7164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1461167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581750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97161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090411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3543089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390948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93424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5430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272432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21326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3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00624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822348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0283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36192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468349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1348599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31700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89308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60354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3084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3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728744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281485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184750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85034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407932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76085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45506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92096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6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76492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828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26288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40099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05624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20562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1070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05881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3205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14243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6829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77680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94245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978426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44342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413195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5" w:color="F0F2F5"/>
                                                                                                            <w:left w:val="single" w:sz="2" w:space="7" w:color="F0F2F5"/>
                                                                                                            <w:bottom w:val="single" w:sz="2" w:space="0" w:color="F0F2F5"/>
                                                                                                            <w:right w:val="single" w:sz="2" w:space="7" w:color="F0F2F5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1295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86010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725116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708340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27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F0F2F5"/>
                                                                                                            <w:left w:val="single" w:sz="2" w:space="7" w:color="F0F2F5"/>
                                                                                                            <w:bottom w:val="single" w:sz="2" w:space="0" w:color="F0F2F5"/>
                                                                                                            <w:right w:val="single" w:sz="2" w:space="7" w:color="F0F2F5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552080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975666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8957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74082">
                                                  <w:marLeft w:val="-177"/>
                                                  <w:marRight w:val="-177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8178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818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755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4510878">
                                                                  <w:marLeft w:val="177"/>
                                                                  <w:marRight w:val="707"/>
                                                                  <w:marTop w:val="0"/>
                                                                  <w:marBottom w:val="10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0959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8797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com/books/about/The_International_Law_of_Occupation.html?id=lcVOlb0wefwC" TargetMode="External"/><Relationship Id="rId13" Type="http://schemas.openxmlformats.org/officeDocument/2006/relationships/hyperlink" Target="https://support.google.com/websearch?p=aimode" TargetMode="External"/><Relationship Id="rId18" Type="http://schemas.openxmlformats.org/officeDocument/2006/relationships/image" Target="media/image6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yperlink" Target="https://www.cambridge.org/core/books/international-law-of-belligerent-occupation/CA7B790BCDE2D01174BB13007D8666B0" TargetMode="External"/><Relationship Id="rId12" Type="http://schemas.openxmlformats.org/officeDocument/2006/relationships/hyperlink" Target="https://books.google.com/books/about/History_of_Military_Occupation_from_1792.html?id=D5wkDQAAQBAJ" TargetMode="External"/><Relationship Id="rId17" Type="http://schemas.openxmlformats.org/officeDocument/2006/relationships/image" Target="media/image5.png"/><Relationship Id="rId25" Type="http://schemas.openxmlformats.org/officeDocument/2006/relationships/control" Target="activeX/activeX1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books.google.com/books/about/Prolonged_Occupation_and_International_L.html?id=msn7EAAAQBAJ" TargetMode="External"/><Relationship Id="rId24" Type="http://schemas.openxmlformats.org/officeDocument/2006/relationships/image" Target="media/image12.wmf"/><Relationship Id="rId5" Type="http://schemas.openxmlformats.org/officeDocument/2006/relationships/hyperlink" Target="https://accounts.google.com/SignOutOptions?hl=zh-TW&amp;continue=https://www.google.com/search%3Fq%3Dbooks%2Bon%2Bbelligerent%2Boccupation%26gs_lcrp%3DEgZjaHJvbWUyBggAEEUYOTIHCAEQIRigATIHCAIQIRigATIHCAMQIRigAdIBCDgwMDdqMGo3qAIAsAIA%26sourceid%3Dchrome%26ie%3DUTF-8%26fbs%3DABfTbFUhNGvvPEUFOvrsPMHwBXgOBaujescnqPHvnnJ8fnHu17PbcurfovuKKjl7m0lU4CgzG40fJPVl-5QUbawjwSbvsJdAR_CDGKrmZrfS4cNj_oQCUzksVqdxnfgwUcAukDFrH27tpvqW7Qbp9Hb7ne52RsaW-2G-ZfB931b0XwCz7cN7vyWVk1lEIAR0PxDphLQXnuyF%26aep%3D10%26ntc%3D1%26mstk%3DAUtExfDVsD_BKwIx02CFWdp-JZZG45yn4q3jliyFhIefs9KQhoGFSYOcklgLbkXHjDkFm3j3Cta8dWgcYwXst8mzC3WQGfUwkEClMOzbP-tqCI3Re1eQOkEOYVqGaYB_4UyjANgx2B-ll2HU8sQmetVJhfQrW7ZYMPj15fRnoalY5D_4Jdmje0fStudUvqSc-lGyQ_0h1eN_L-jwRTpINwd5Iq5NTfsFu_cgucDSC_nzLeTONAnRDgfeNPZ8kNPVrIAcW1jRJUX08ybB-Q%26aioh%3D3%26csuir%3D1%26cs%3D0%26mtid%3DVbFlaqP0G-vc1e8Ps6-46AE%26lns_mode%3Dcvst%26elids%3DCNuttv651vO2sgEQARgBIhBqQKl-99Xq-As_u8CfUN9oOJillrfF75UDSAFQAmoA%26udm%3D50&amp;ec=futura_srp_og_si_72236_p" TargetMode="Externa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10" Type="http://schemas.openxmlformats.org/officeDocument/2006/relationships/hyperlink" Target="https://academic.oup.com/book/39622/chapter/339563727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https://books.google.com/books/about/Occupation_in_International_Law.html?id=JNebEAAAQBAJ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4474</Words>
  <Characters>25502</Characters>
  <Application>Microsoft Office Word</Application>
  <DocSecurity>0</DocSecurity>
  <Lines>212</Lines>
  <Paragraphs>59</Paragraphs>
  <ScaleCrop>false</ScaleCrop>
  <Company>C.M.T</Company>
  <LinksUpToDate>false</LinksUpToDate>
  <CharactersWithSpaces>29917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2026-07-26T09:49:00Z</dcterms:created>
  <dcterms:modified xsi:type="dcterms:W3CDTF">2026-07-26T09:51:00Z</dcterms:modified>
</cp:coreProperties>
</file>