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10AD" w:rsidRDefault="00B410AD">
      <w:pPr>
        <w:rPr>
          <w:rFonts w:hint="eastAsia"/>
        </w:rPr>
      </w:pPr>
    </w:p>
    <w:p w:rsidR="00D05D65" w:rsidRPr="00D05D65" w:rsidRDefault="00D05D65" w:rsidP="00D05D65">
      <w:pPr>
        <w:widowControl/>
        <w:rPr>
          <w:rFonts w:ascii="Arial" w:eastAsia="新細明體" w:hAnsi="Arial" w:cs="Arial"/>
          <w:kern w:val="0"/>
          <w:sz w:val="14"/>
          <w:szCs w:val="14"/>
        </w:rPr>
      </w:pPr>
      <w:r w:rsidRPr="00D05D65">
        <w:rPr>
          <w:rFonts w:ascii="Arial" w:eastAsia="新細明體" w:hAnsi="Arial" w:cs="Arial"/>
          <w:kern w:val="0"/>
          <w:sz w:val="14"/>
          <w:szCs w:val="14"/>
        </w:rPr>
        <w:t xml:space="preserve">The </w:t>
      </w:r>
      <w:hyperlink r:id="rId5" w:tgtFrame="_blank" w:history="1">
        <w:r w:rsidRPr="00D05D65">
          <w:rPr>
            <w:rFonts w:ascii="Arial" w:eastAsia="新細明體" w:hAnsi="Arial" w:cs="Arial"/>
            <w:b/>
            <w:bCs/>
            <w:color w:val="0000FF"/>
            <w:kern w:val="0"/>
            <w:sz w:val="14"/>
            <w:u w:val="single"/>
          </w:rPr>
          <w:t>Office of Insular Affairs (OIA)</w:t>
        </w:r>
      </w:hyperlink>
      <w:r w:rsidRPr="00D05D65">
        <w:rPr>
          <w:rFonts w:ascii="Arial" w:eastAsia="新細明體" w:hAnsi="Arial" w:cs="Arial"/>
          <w:kern w:val="0"/>
          <w:sz w:val="14"/>
          <w:szCs w:val="14"/>
        </w:rPr>
        <w:t xml:space="preserve"> within the </w:t>
      </w:r>
      <w:hyperlink r:id="rId6" w:tgtFrame="_blank" w:history="1">
        <w:r w:rsidRPr="00D05D65">
          <w:rPr>
            <w:rFonts w:ascii="Arial" w:eastAsia="新細明體" w:hAnsi="Arial" w:cs="Arial"/>
            <w:b/>
            <w:bCs/>
            <w:color w:val="0000FF"/>
            <w:kern w:val="0"/>
            <w:sz w:val="14"/>
            <w:u w:val="single"/>
          </w:rPr>
          <w:t>U.S. Department of the Interior (DOI)</w:t>
        </w:r>
      </w:hyperlink>
      <w:r w:rsidRPr="00D05D65">
        <w:rPr>
          <w:rFonts w:ascii="Arial" w:eastAsia="新細明體" w:hAnsi="Arial" w:cs="Arial"/>
          <w:kern w:val="0"/>
          <w:sz w:val="14"/>
          <w:szCs w:val="14"/>
        </w:rPr>
        <w:t xml:space="preserve"> is responsible for coordinating federal policy for U.S. territories and freely associated states. Its history traces back to the Spanish-American War and transitions through several military and civilian agencies over the last century. [</w:t>
      </w:r>
      <w:hyperlink r:id="rId7" w:history="1">
        <w:r w:rsidRPr="00D05D65">
          <w:rPr>
            <w:rFonts w:ascii="Arial" w:eastAsia="新細明體" w:hAnsi="Arial" w:cs="Arial"/>
            <w:color w:val="0000FF"/>
            <w:kern w:val="0"/>
            <w:sz w:val="14"/>
            <w:u w:val="single"/>
          </w:rPr>
          <w:t>1</w:t>
        </w:r>
      </w:hyperlink>
      <w:r w:rsidRPr="00D05D65">
        <w:rPr>
          <w:rFonts w:ascii="Arial" w:eastAsia="新細明體" w:hAnsi="Arial" w:cs="Arial"/>
          <w:kern w:val="0"/>
          <w:sz w:val="14"/>
          <w:szCs w:val="14"/>
        </w:rPr>
        <w:t xml:space="preserve">, </w:t>
      </w:r>
      <w:hyperlink r:id="rId8" w:history="1">
        <w:r w:rsidRPr="00D05D65">
          <w:rPr>
            <w:rFonts w:ascii="Arial" w:eastAsia="新細明體" w:hAnsi="Arial" w:cs="Arial"/>
            <w:color w:val="0000FF"/>
            <w:kern w:val="0"/>
            <w:sz w:val="14"/>
            <w:u w:val="single"/>
          </w:rPr>
          <w:t>2</w:t>
        </w:r>
      </w:hyperlink>
      <w:r w:rsidRPr="00D05D65">
        <w:rPr>
          <w:rFonts w:ascii="Arial" w:eastAsia="新細明體" w:hAnsi="Arial" w:cs="Arial"/>
          <w:kern w:val="0"/>
          <w:sz w:val="14"/>
          <w:szCs w:val="14"/>
        </w:rPr>
        <w:t xml:space="preserve">, </w:t>
      </w:r>
      <w:hyperlink r:id="rId9" w:history="1">
        <w:r w:rsidRPr="00D05D65">
          <w:rPr>
            <w:rFonts w:ascii="Arial" w:eastAsia="新細明體" w:hAnsi="Arial" w:cs="Arial"/>
            <w:color w:val="0000FF"/>
            <w:kern w:val="0"/>
            <w:sz w:val="14"/>
            <w:u w:val="single"/>
          </w:rPr>
          <w:t>3</w:t>
        </w:r>
      </w:hyperlink>
      <w:r w:rsidRPr="00D05D65">
        <w:rPr>
          <w:rFonts w:ascii="Arial" w:eastAsia="新細明體" w:hAnsi="Arial" w:cs="Arial"/>
          <w:kern w:val="0"/>
          <w:sz w:val="14"/>
          <w:szCs w:val="14"/>
        </w:rPr>
        <w:t xml:space="preserve">, </w:t>
      </w:r>
      <w:hyperlink r:id="rId10" w:history="1">
        <w:r w:rsidRPr="00D05D65">
          <w:rPr>
            <w:rFonts w:ascii="Arial" w:eastAsia="新細明體" w:hAnsi="Arial" w:cs="Arial"/>
            <w:color w:val="0000FF"/>
            <w:kern w:val="0"/>
            <w:sz w:val="14"/>
            <w:u w:val="single"/>
          </w:rPr>
          <w:t>4</w:t>
        </w:r>
      </w:hyperlink>
      <w:r w:rsidRPr="00D05D65">
        <w:rPr>
          <w:rFonts w:ascii="Arial" w:eastAsia="新細明體" w:hAnsi="Arial" w:cs="Arial"/>
          <w:kern w:val="0"/>
          <w:sz w:val="14"/>
          <w:szCs w:val="14"/>
        </w:rPr>
        <w:t>]</w:t>
      </w:r>
    </w:p>
    <w:p w:rsidR="00D05D65" w:rsidRPr="00D05D65" w:rsidRDefault="00D05D65" w:rsidP="00D05D65">
      <w:pPr>
        <w:widowControl/>
        <w:rPr>
          <w:rFonts w:ascii="Arial" w:eastAsia="新細明體" w:hAnsi="Arial" w:cs="Arial"/>
          <w:b/>
          <w:bCs/>
          <w:kern w:val="0"/>
          <w:sz w:val="18"/>
          <w:szCs w:val="18"/>
        </w:rPr>
      </w:pPr>
      <w:r w:rsidRPr="00D05D65">
        <w:rPr>
          <w:rFonts w:ascii="Arial" w:eastAsia="新細明體" w:hAnsi="Arial" w:cs="Arial"/>
          <w:b/>
          <w:bCs/>
          <w:kern w:val="0"/>
          <w:sz w:val="18"/>
          <w:szCs w:val="18"/>
        </w:rPr>
        <w:t>The War Department Era (1898–1939)</w:t>
      </w:r>
    </w:p>
    <w:p w:rsidR="00D05D65" w:rsidRPr="00D05D65" w:rsidRDefault="00D05D65" w:rsidP="00D05D65">
      <w:pPr>
        <w:widowControl/>
        <w:rPr>
          <w:rFonts w:ascii="Arial" w:eastAsia="新細明體" w:hAnsi="Arial" w:cs="Arial"/>
          <w:kern w:val="0"/>
          <w:sz w:val="14"/>
          <w:szCs w:val="14"/>
        </w:rPr>
      </w:pPr>
      <w:r w:rsidRPr="00D05D65">
        <w:rPr>
          <w:rFonts w:ascii="Arial" w:eastAsia="新細明體" w:hAnsi="Arial" w:cs="Arial"/>
          <w:kern w:val="0"/>
          <w:sz w:val="14"/>
          <w:szCs w:val="14"/>
        </w:rPr>
        <w:t xml:space="preserve">Following the Spanish-American War, the United States acquired territories like the Philippines, Puerto Rico, and Cuba. To manage the customs and civil affairs of these new lands, the War Department created the </w:t>
      </w:r>
      <w:r w:rsidRPr="00D05D65">
        <w:rPr>
          <w:rFonts w:ascii="Arial" w:eastAsia="新細明體" w:hAnsi="Arial" w:cs="Arial"/>
          <w:b/>
          <w:bCs/>
          <w:kern w:val="0"/>
          <w:sz w:val="14"/>
        </w:rPr>
        <w:t>Division of Customs and Insular Affairs</w:t>
      </w:r>
      <w:r w:rsidRPr="00D05D65">
        <w:rPr>
          <w:rFonts w:ascii="Arial" w:eastAsia="新細明體" w:hAnsi="Arial" w:cs="Arial"/>
          <w:kern w:val="0"/>
          <w:sz w:val="14"/>
          <w:szCs w:val="14"/>
        </w:rPr>
        <w:t xml:space="preserve"> in 1898. By 1902, an act of Congress formally established the </w:t>
      </w:r>
      <w:r w:rsidRPr="00D05D65">
        <w:rPr>
          <w:rFonts w:ascii="Arial" w:eastAsia="新細明體" w:hAnsi="Arial" w:cs="Arial"/>
          <w:b/>
          <w:bCs/>
          <w:kern w:val="0"/>
          <w:sz w:val="14"/>
        </w:rPr>
        <w:t>Bureau of Insular Affairs</w:t>
      </w:r>
      <w:r w:rsidRPr="00D05D65">
        <w:rPr>
          <w:rFonts w:ascii="Arial" w:eastAsia="新細明體" w:hAnsi="Arial" w:cs="Arial"/>
          <w:kern w:val="0"/>
          <w:sz w:val="14"/>
          <w:szCs w:val="14"/>
        </w:rPr>
        <w:t xml:space="preserve"> within the War Department. Over the next few decades, it oversaw the transition of these territories toward civilian governance and managed customs receiverships in the Caribbean. [</w:t>
      </w:r>
      <w:hyperlink r:id="rId11" w:history="1">
        <w:r w:rsidRPr="00D05D65">
          <w:rPr>
            <w:rFonts w:ascii="Arial" w:eastAsia="新細明體" w:hAnsi="Arial" w:cs="Arial"/>
            <w:color w:val="0000FF"/>
            <w:kern w:val="0"/>
            <w:sz w:val="14"/>
            <w:u w:val="single"/>
          </w:rPr>
          <w:t>1</w:t>
        </w:r>
      </w:hyperlink>
      <w:r w:rsidRPr="00D05D65">
        <w:rPr>
          <w:rFonts w:ascii="Arial" w:eastAsia="新細明體" w:hAnsi="Arial" w:cs="Arial"/>
          <w:kern w:val="0"/>
          <w:sz w:val="14"/>
          <w:szCs w:val="14"/>
        </w:rPr>
        <w:t xml:space="preserve">, </w:t>
      </w:r>
      <w:hyperlink r:id="rId12" w:history="1">
        <w:r w:rsidRPr="00D05D65">
          <w:rPr>
            <w:rFonts w:ascii="Arial" w:eastAsia="新細明體" w:hAnsi="Arial" w:cs="Arial"/>
            <w:color w:val="0000FF"/>
            <w:kern w:val="0"/>
            <w:sz w:val="14"/>
            <w:u w:val="single"/>
          </w:rPr>
          <w:t>2</w:t>
        </w:r>
      </w:hyperlink>
      <w:r w:rsidRPr="00D05D65">
        <w:rPr>
          <w:rFonts w:ascii="Arial" w:eastAsia="新細明體" w:hAnsi="Arial" w:cs="Arial"/>
          <w:kern w:val="0"/>
          <w:sz w:val="14"/>
          <w:szCs w:val="14"/>
        </w:rPr>
        <w:t>]</w:t>
      </w:r>
    </w:p>
    <w:p w:rsidR="00D05D65" w:rsidRPr="00D05D65" w:rsidRDefault="00D05D65" w:rsidP="00D05D65">
      <w:pPr>
        <w:widowControl/>
        <w:rPr>
          <w:rFonts w:ascii="Arial" w:eastAsia="新細明體" w:hAnsi="Arial" w:cs="Arial"/>
          <w:b/>
          <w:bCs/>
          <w:kern w:val="0"/>
          <w:sz w:val="18"/>
          <w:szCs w:val="18"/>
        </w:rPr>
      </w:pPr>
      <w:r w:rsidRPr="00D05D65">
        <w:rPr>
          <w:rFonts w:ascii="Arial" w:eastAsia="新細明體" w:hAnsi="Arial" w:cs="Arial"/>
          <w:b/>
          <w:bCs/>
          <w:kern w:val="0"/>
          <w:sz w:val="18"/>
          <w:szCs w:val="18"/>
        </w:rPr>
        <w:t>Transition to the Department of the Interior (1930s–1950s)</w:t>
      </w:r>
    </w:p>
    <w:p w:rsidR="00D05D65" w:rsidRPr="00D05D65" w:rsidRDefault="00D05D65" w:rsidP="00D05D65">
      <w:pPr>
        <w:widowControl/>
        <w:rPr>
          <w:rFonts w:ascii="Arial" w:eastAsia="新細明體" w:hAnsi="Arial" w:cs="Arial"/>
          <w:kern w:val="0"/>
          <w:sz w:val="14"/>
          <w:szCs w:val="14"/>
        </w:rPr>
      </w:pPr>
      <w:r w:rsidRPr="00D05D65">
        <w:rPr>
          <w:rFonts w:ascii="Arial" w:eastAsia="新細明體" w:hAnsi="Arial" w:cs="Arial"/>
          <w:kern w:val="0"/>
          <w:sz w:val="14"/>
          <w:szCs w:val="14"/>
        </w:rPr>
        <w:t xml:space="preserve">As the overseas territories became more stabilized, administration shifted from military to civilian oversight. In 1934, President Franklin D. Roosevelt signed </w:t>
      </w:r>
      <w:hyperlink r:id="rId13" w:tgtFrame="_blank" w:history="1">
        <w:r w:rsidRPr="00D05D65">
          <w:rPr>
            <w:rFonts w:ascii="Arial" w:eastAsia="新細明體" w:hAnsi="Arial" w:cs="Arial"/>
            <w:b/>
            <w:bCs/>
            <w:color w:val="0000FF"/>
            <w:kern w:val="0"/>
            <w:sz w:val="14"/>
            <w:u w:val="single"/>
          </w:rPr>
          <w:t>Executive Order 6726</w:t>
        </w:r>
      </w:hyperlink>
      <w:r w:rsidRPr="00D05D65">
        <w:rPr>
          <w:rFonts w:ascii="Arial" w:eastAsia="新細明體" w:hAnsi="Arial" w:cs="Arial"/>
          <w:kern w:val="0"/>
          <w:sz w:val="14"/>
          <w:szCs w:val="14"/>
        </w:rPr>
        <w:t xml:space="preserve">, which established the </w:t>
      </w:r>
      <w:r w:rsidRPr="00D05D65">
        <w:rPr>
          <w:rFonts w:ascii="Arial" w:eastAsia="新細明體" w:hAnsi="Arial" w:cs="Arial"/>
          <w:b/>
          <w:bCs/>
          <w:kern w:val="0"/>
          <w:sz w:val="14"/>
        </w:rPr>
        <w:t>Division of Territories and Island Possessions</w:t>
      </w:r>
      <w:r w:rsidRPr="00D05D65">
        <w:rPr>
          <w:rFonts w:ascii="Arial" w:eastAsia="新細明體" w:hAnsi="Arial" w:cs="Arial"/>
          <w:kern w:val="0"/>
          <w:sz w:val="14"/>
          <w:szCs w:val="14"/>
        </w:rPr>
        <w:t xml:space="preserve"> within the Department of the Interior. This civilian division absorbed the responsibilities of the War Department's Bureau of Insular Affairs, which was officially abolished in 1939. In 1950, the agency was reorganized and renamed the </w:t>
      </w:r>
      <w:r w:rsidRPr="00D05D65">
        <w:rPr>
          <w:rFonts w:ascii="Arial" w:eastAsia="新細明體" w:hAnsi="Arial" w:cs="Arial"/>
          <w:b/>
          <w:bCs/>
          <w:kern w:val="0"/>
          <w:sz w:val="14"/>
        </w:rPr>
        <w:t>Office of Territories</w:t>
      </w:r>
      <w:r w:rsidRPr="00D05D65">
        <w:rPr>
          <w:rFonts w:ascii="Arial" w:eastAsia="新細明體" w:hAnsi="Arial" w:cs="Arial"/>
          <w:kern w:val="0"/>
          <w:sz w:val="14"/>
          <w:szCs w:val="14"/>
        </w:rPr>
        <w:t>. [</w:t>
      </w:r>
      <w:hyperlink r:id="rId14" w:history="1">
        <w:r w:rsidRPr="00D05D65">
          <w:rPr>
            <w:rFonts w:ascii="Arial" w:eastAsia="新細明體" w:hAnsi="Arial" w:cs="Arial"/>
            <w:color w:val="0000FF"/>
            <w:kern w:val="0"/>
            <w:sz w:val="14"/>
            <w:u w:val="single"/>
          </w:rPr>
          <w:t>1</w:t>
        </w:r>
      </w:hyperlink>
      <w:r w:rsidRPr="00D05D65">
        <w:rPr>
          <w:rFonts w:ascii="Arial" w:eastAsia="新細明體" w:hAnsi="Arial" w:cs="Arial"/>
          <w:kern w:val="0"/>
          <w:sz w:val="14"/>
          <w:szCs w:val="14"/>
        </w:rPr>
        <w:t xml:space="preserve">, </w:t>
      </w:r>
      <w:hyperlink r:id="rId15" w:history="1">
        <w:r w:rsidRPr="00D05D65">
          <w:rPr>
            <w:rFonts w:ascii="Arial" w:eastAsia="新細明體" w:hAnsi="Arial" w:cs="Arial"/>
            <w:color w:val="0000FF"/>
            <w:kern w:val="0"/>
            <w:sz w:val="14"/>
            <w:u w:val="single"/>
          </w:rPr>
          <w:t>2</w:t>
        </w:r>
      </w:hyperlink>
      <w:r w:rsidRPr="00D05D65">
        <w:rPr>
          <w:rFonts w:ascii="Arial" w:eastAsia="新細明體" w:hAnsi="Arial" w:cs="Arial"/>
          <w:kern w:val="0"/>
          <w:sz w:val="14"/>
          <w:szCs w:val="14"/>
        </w:rPr>
        <w:t xml:space="preserve">, </w:t>
      </w:r>
      <w:hyperlink r:id="rId16" w:history="1">
        <w:r w:rsidRPr="00D05D65">
          <w:rPr>
            <w:rFonts w:ascii="Arial" w:eastAsia="新細明體" w:hAnsi="Arial" w:cs="Arial"/>
            <w:color w:val="0000FF"/>
            <w:kern w:val="0"/>
            <w:sz w:val="14"/>
            <w:u w:val="single"/>
          </w:rPr>
          <w:t>3</w:t>
        </w:r>
      </w:hyperlink>
      <w:r w:rsidRPr="00D05D65">
        <w:rPr>
          <w:rFonts w:ascii="Arial" w:eastAsia="新細明體" w:hAnsi="Arial" w:cs="Arial"/>
          <w:kern w:val="0"/>
          <w:sz w:val="14"/>
          <w:szCs w:val="14"/>
        </w:rPr>
        <w:t xml:space="preserve">, </w:t>
      </w:r>
      <w:hyperlink r:id="rId17" w:history="1">
        <w:r w:rsidRPr="00D05D65">
          <w:rPr>
            <w:rFonts w:ascii="Arial" w:eastAsia="新細明體" w:hAnsi="Arial" w:cs="Arial"/>
            <w:color w:val="0000FF"/>
            <w:kern w:val="0"/>
            <w:sz w:val="14"/>
            <w:u w:val="single"/>
          </w:rPr>
          <w:t>4</w:t>
        </w:r>
      </w:hyperlink>
      <w:r w:rsidRPr="00D05D65">
        <w:rPr>
          <w:rFonts w:ascii="Arial" w:eastAsia="新細明體" w:hAnsi="Arial" w:cs="Arial"/>
          <w:kern w:val="0"/>
          <w:sz w:val="14"/>
          <w:szCs w:val="14"/>
        </w:rPr>
        <w:t>]</w:t>
      </w:r>
    </w:p>
    <w:p w:rsidR="00D05D65" w:rsidRPr="00D05D65" w:rsidRDefault="00D05D65" w:rsidP="00D05D65">
      <w:pPr>
        <w:widowControl/>
        <w:rPr>
          <w:rFonts w:ascii="Arial" w:eastAsia="新細明體" w:hAnsi="Arial" w:cs="Arial"/>
          <w:b/>
          <w:bCs/>
          <w:kern w:val="0"/>
          <w:sz w:val="18"/>
          <w:szCs w:val="18"/>
        </w:rPr>
      </w:pPr>
      <w:r w:rsidRPr="00D05D65">
        <w:rPr>
          <w:rFonts w:ascii="Arial" w:eastAsia="新細明體" w:hAnsi="Arial" w:cs="Arial"/>
          <w:b/>
          <w:bCs/>
          <w:kern w:val="0"/>
          <w:sz w:val="18"/>
          <w:szCs w:val="18"/>
        </w:rPr>
        <w:t>Modern Office of Insular Affairs (1970s–Present)</w:t>
      </w:r>
    </w:p>
    <w:p w:rsidR="00D05D65" w:rsidRPr="00D05D65" w:rsidRDefault="00D05D65" w:rsidP="00D05D65">
      <w:pPr>
        <w:widowControl/>
        <w:rPr>
          <w:rFonts w:ascii="Arial" w:eastAsia="新細明體" w:hAnsi="Arial" w:cs="Arial"/>
          <w:kern w:val="0"/>
          <w:sz w:val="14"/>
          <w:szCs w:val="14"/>
        </w:rPr>
      </w:pPr>
      <w:r w:rsidRPr="00D05D65">
        <w:rPr>
          <w:rFonts w:ascii="Arial" w:eastAsia="新細明體" w:hAnsi="Arial" w:cs="Arial"/>
          <w:kern w:val="0"/>
          <w:sz w:val="14"/>
          <w:szCs w:val="14"/>
        </w:rPr>
        <w:t xml:space="preserve">In 1971, the Office of Territories was dissolved, and its functions were absorbed into the broader Departmental structure until a new, specialized bureau was established. The modern </w:t>
      </w:r>
      <w:r w:rsidRPr="00D05D65">
        <w:rPr>
          <w:rFonts w:ascii="Arial" w:eastAsia="新細明體" w:hAnsi="Arial" w:cs="Arial"/>
          <w:b/>
          <w:bCs/>
          <w:kern w:val="0"/>
          <w:sz w:val="14"/>
        </w:rPr>
        <w:t>Office of Insular Affairs (OIA)</w:t>
      </w:r>
      <w:r w:rsidRPr="00D05D65">
        <w:rPr>
          <w:rFonts w:ascii="Arial" w:eastAsia="新細明體" w:hAnsi="Arial" w:cs="Arial"/>
          <w:kern w:val="0"/>
          <w:sz w:val="14"/>
          <w:szCs w:val="14"/>
        </w:rPr>
        <w:t xml:space="preserve"> was officially established in August 1995 to handle DOI's responsibilities. [</w:t>
      </w:r>
      <w:hyperlink r:id="rId18" w:history="1">
        <w:r w:rsidRPr="00D05D65">
          <w:rPr>
            <w:rFonts w:ascii="Arial" w:eastAsia="新細明體" w:hAnsi="Arial" w:cs="Arial"/>
            <w:color w:val="0000FF"/>
            <w:kern w:val="0"/>
            <w:sz w:val="14"/>
            <w:u w:val="single"/>
          </w:rPr>
          <w:t>1</w:t>
        </w:r>
      </w:hyperlink>
      <w:r w:rsidRPr="00D05D65">
        <w:rPr>
          <w:rFonts w:ascii="Arial" w:eastAsia="新細明體" w:hAnsi="Arial" w:cs="Arial"/>
          <w:kern w:val="0"/>
          <w:sz w:val="14"/>
          <w:szCs w:val="14"/>
        </w:rPr>
        <w:t xml:space="preserve">, </w:t>
      </w:r>
      <w:hyperlink r:id="rId19" w:history="1">
        <w:r w:rsidRPr="00D05D65">
          <w:rPr>
            <w:rFonts w:ascii="Arial" w:eastAsia="新細明體" w:hAnsi="Arial" w:cs="Arial"/>
            <w:color w:val="0000FF"/>
            <w:kern w:val="0"/>
            <w:sz w:val="14"/>
            <w:u w:val="single"/>
          </w:rPr>
          <w:t>2</w:t>
        </w:r>
      </w:hyperlink>
      <w:r w:rsidRPr="00D05D65">
        <w:rPr>
          <w:rFonts w:ascii="Arial" w:eastAsia="新細明體" w:hAnsi="Arial" w:cs="Arial"/>
          <w:kern w:val="0"/>
          <w:sz w:val="14"/>
          <w:szCs w:val="14"/>
        </w:rPr>
        <w:t>]</w:t>
      </w:r>
    </w:p>
    <w:p w:rsidR="00D05D65" w:rsidRPr="00D05D65" w:rsidRDefault="00D05D65" w:rsidP="00D05D65">
      <w:pPr>
        <w:widowControl/>
        <w:rPr>
          <w:rFonts w:ascii="Arial" w:eastAsia="新細明體" w:hAnsi="Arial" w:cs="Arial"/>
          <w:kern w:val="0"/>
          <w:sz w:val="14"/>
          <w:szCs w:val="14"/>
        </w:rPr>
      </w:pPr>
      <w:r w:rsidRPr="00D05D65">
        <w:rPr>
          <w:rFonts w:ascii="Arial" w:eastAsia="新細明體" w:hAnsi="Arial" w:cs="Arial"/>
          <w:kern w:val="0"/>
          <w:sz w:val="14"/>
          <w:szCs w:val="14"/>
        </w:rPr>
        <w:t>Today, the OIA oversees the administration of four U.S. territories: [</w:t>
      </w:r>
      <w:hyperlink r:id="rId20" w:history="1">
        <w:r w:rsidRPr="00D05D65">
          <w:rPr>
            <w:rFonts w:ascii="Arial" w:eastAsia="新細明體" w:hAnsi="Arial" w:cs="Arial"/>
            <w:color w:val="0000FF"/>
            <w:kern w:val="0"/>
            <w:sz w:val="14"/>
            <w:u w:val="single"/>
          </w:rPr>
          <w:t>1</w:t>
        </w:r>
      </w:hyperlink>
      <w:r w:rsidRPr="00D05D65">
        <w:rPr>
          <w:rFonts w:ascii="Arial" w:eastAsia="新細明體" w:hAnsi="Arial" w:cs="Arial"/>
          <w:kern w:val="0"/>
          <w:sz w:val="14"/>
          <w:szCs w:val="14"/>
        </w:rPr>
        <w:t>]</w:t>
      </w:r>
    </w:p>
    <w:p w:rsidR="00D05D65" w:rsidRPr="00D05D65" w:rsidRDefault="00D05D65" w:rsidP="00D05D65">
      <w:pPr>
        <w:widowControl/>
        <w:numPr>
          <w:ilvl w:val="0"/>
          <w:numId w:val="1"/>
        </w:numPr>
        <w:ind w:left="0"/>
        <w:rPr>
          <w:rFonts w:ascii="Arial" w:eastAsia="新細明體" w:hAnsi="Arial" w:cs="Arial"/>
          <w:kern w:val="0"/>
          <w:sz w:val="14"/>
          <w:szCs w:val="14"/>
        </w:rPr>
      </w:pPr>
      <w:r w:rsidRPr="00D05D65">
        <w:rPr>
          <w:rFonts w:ascii="Arial" w:eastAsia="新細明體" w:hAnsi="Arial" w:cs="Arial"/>
          <w:kern w:val="0"/>
          <w:sz w:val="14"/>
        </w:rPr>
        <w:t>American Samoa</w:t>
      </w:r>
    </w:p>
    <w:p w:rsidR="00D05D65" w:rsidRPr="00D05D65" w:rsidRDefault="00D05D65" w:rsidP="00D05D65">
      <w:pPr>
        <w:widowControl/>
        <w:numPr>
          <w:ilvl w:val="0"/>
          <w:numId w:val="1"/>
        </w:numPr>
        <w:ind w:left="0"/>
        <w:rPr>
          <w:rFonts w:ascii="Arial" w:eastAsia="新細明體" w:hAnsi="Arial" w:cs="Arial"/>
          <w:kern w:val="0"/>
          <w:sz w:val="14"/>
          <w:szCs w:val="14"/>
        </w:rPr>
      </w:pPr>
      <w:r w:rsidRPr="00D05D65">
        <w:rPr>
          <w:rFonts w:ascii="Arial" w:eastAsia="新細明體" w:hAnsi="Arial" w:cs="Arial"/>
          <w:kern w:val="0"/>
          <w:sz w:val="14"/>
        </w:rPr>
        <w:t>Guam</w:t>
      </w:r>
    </w:p>
    <w:p w:rsidR="00D05D65" w:rsidRPr="00D05D65" w:rsidRDefault="00D05D65" w:rsidP="00D05D65">
      <w:pPr>
        <w:widowControl/>
        <w:numPr>
          <w:ilvl w:val="0"/>
          <w:numId w:val="1"/>
        </w:numPr>
        <w:ind w:left="0"/>
        <w:rPr>
          <w:rFonts w:ascii="Arial" w:eastAsia="新細明體" w:hAnsi="Arial" w:cs="Arial"/>
          <w:kern w:val="0"/>
          <w:sz w:val="14"/>
          <w:szCs w:val="14"/>
        </w:rPr>
      </w:pPr>
      <w:r w:rsidRPr="00D05D65">
        <w:rPr>
          <w:rFonts w:ascii="Arial" w:eastAsia="新細明體" w:hAnsi="Arial" w:cs="Arial"/>
          <w:kern w:val="0"/>
          <w:sz w:val="14"/>
        </w:rPr>
        <w:t>The Commonwealth of the Northern Mariana Islands</w:t>
      </w:r>
    </w:p>
    <w:p w:rsidR="00D05D65" w:rsidRPr="00D05D65" w:rsidRDefault="00D05D65" w:rsidP="00D05D65">
      <w:pPr>
        <w:widowControl/>
        <w:numPr>
          <w:ilvl w:val="0"/>
          <w:numId w:val="1"/>
        </w:numPr>
        <w:ind w:left="0"/>
        <w:rPr>
          <w:rFonts w:ascii="Arial" w:eastAsia="新細明體" w:hAnsi="Arial" w:cs="Arial"/>
          <w:kern w:val="0"/>
          <w:sz w:val="14"/>
          <w:szCs w:val="14"/>
        </w:rPr>
      </w:pPr>
      <w:r w:rsidRPr="00D05D65">
        <w:rPr>
          <w:rFonts w:ascii="Arial" w:eastAsia="新細明體" w:hAnsi="Arial" w:cs="Arial"/>
          <w:kern w:val="0"/>
          <w:sz w:val="14"/>
        </w:rPr>
        <w:t>The U.S. Virgin Islands</w:t>
      </w:r>
      <w:r w:rsidRPr="00D05D65">
        <w:rPr>
          <w:rFonts w:ascii="Arial" w:eastAsia="新細明體" w:hAnsi="Arial" w:cs="Arial"/>
          <w:kern w:val="0"/>
          <w:sz w:val="14"/>
          <w:szCs w:val="14"/>
        </w:rPr>
        <w:t xml:space="preserve"> [</w:t>
      </w:r>
      <w:hyperlink r:id="rId21" w:history="1">
        <w:r w:rsidRPr="00D05D65">
          <w:rPr>
            <w:rFonts w:ascii="Arial" w:eastAsia="新細明體" w:hAnsi="Arial" w:cs="Arial"/>
            <w:color w:val="0000FF"/>
            <w:kern w:val="0"/>
            <w:sz w:val="14"/>
            <w:u w:val="single"/>
          </w:rPr>
          <w:t>1</w:t>
        </w:r>
      </w:hyperlink>
      <w:r w:rsidRPr="00D05D65">
        <w:rPr>
          <w:rFonts w:ascii="Arial" w:eastAsia="新細明體" w:hAnsi="Arial" w:cs="Arial"/>
          <w:kern w:val="0"/>
          <w:sz w:val="14"/>
          <w:szCs w:val="14"/>
        </w:rPr>
        <w:t>]</w:t>
      </w:r>
    </w:p>
    <w:p w:rsidR="00D05D65" w:rsidRPr="00D05D65" w:rsidRDefault="00D05D65" w:rsidP="00D05D65">
      <w:pPr>
        <w:widowControl/>
        <w:rPr>
          <w:rFonts w:ascii="Arial" w:eastAsia="新細明體" w:hAnsi="Arial" w:cs="Arial"/>
          <w:kern w:val="0"/>
          <w:sz w:val="14"/>
          <w:szCs w:val="14"/>
        </w:rPr>
      </w:pPr>
      <w:r w:rsidRPr="00D05D65">
        <w:rPr>
          <w:rFonts w:ascii="Arial" w:eastAsia="新細明體" w:hAnsi="Arial" w:cs="Arial"/>
          <w:kern w:val="0"/>
          <w:sz w:val="14"/>
          <w:szCs w:val="14"/>
        </w:rPr>
        <w:t xml:space="preserve">It also manages U.S. federal assistance, programs, and strategic relations under the </w:t>
      </w:r>
      <w:r w:rsidRPr="00D05D65">
        <w:rPr>
          <w:rFonts w:ascii="Arial" w:eastAsia="新細明體" w:hAnsi="Arial" w:cs="Arial"/>
          <w:kern w:val="0"/>
          <w:sz w:val="14"/>
        </w:rPr>
        <w:t>Compacts of Free Association</w:t>
      </w:r>
      <w:r w:rsidRPr="00D05D65">
        <w:rPr>
          <w:rFonts w:ascii="Arial" w:eastAsia="新細明體" w:hAnsi="Arial" w:cs="Arial"/>
          <w:kern w:val="0"/>
          <w:sz w:val="14"/>
          <w:szCs w:val="14"/>
        </w:rPr>
        <w:t xml:space="preserve"> with three sovereign nations: [</w:t>
      </w:r>
      <w:hyperlink r:id="rId22" w:history="1">
        <w:r w:rsidRPr="00D05D65">
          <w:rPr>
            <w:rFonts w:ascii="Arial" w:eastAsia="新細明體" w:hAnsi="Arial" w:cs="Arial"/>
            <w:color w:val="0000FF"/>
            <w:kern w:val="0"/>
            <w:sz w:val="14"/>
            <w:u w:val="single"/>
          </w:rPr>
          <w:t>1</w:t>
        </w:r>
      </w:hyperlink>
      <w:r w:rsidRPr="00D05D65">
        <w:rPr>
          <w:rFonts w:ascii="Arial" w:eastAsia="新細明體" w:hAnsi="Arial" w:cs="Arial"/>
          <w:kern w:val="0"/>
          <w:sz w:val="14"/>
          <w:szCs w:val="14"/>
        </w:rPr>
        <w:t xml:space="preserve">, </w:t>
      </w:r>
      <w:hyperlink r:id="rId23" w:history="1">
        <w:r w:rsidRPr="00D05D65">
          <w:rPr>
            <w:rFonts w:ascii="Arial" w:eastAsia="新細明體" w:hAnsi="Arial" w:cs="Arial"/>
            <w:color w:val="0000FF"/>
            <w:kern w:val="0"/>
            <w:sz w:val="14"/>
            <w:u w:val="single"/>
          </w:rPr>
          <w:t>2</w:t>
        </w:r>
      </w:hyperlink>
      <w:r w:rsidRPr="00D05D65">
        <w:rPr>
          <w:rFonts w:ascii="Arial" w:eastAsia="新細明體" w:hAnsi="Arial" w:cs="Arial"/>
          <w:kern w:val="0"/>
          <w:sz w:val="14"/>
          <w:szCs w:val="14"/>
        </w:rPr>
        <w:t>]</w:t>
      </w:r>
    </w:p>
    <w:p w:rsidR="00D05D65" w:rsidRPr="00D05D65" w:rsidRDefault="00D05D65" w:rsidP="00D05D65">
      <w:pPr>
        <w:widowControl/>
        <w:numPr>
          <w:ilvl w:val="0"/>
          <w:numId w:val="2"/>
        </w:numPr>
        <w:ind w:left="0"/>
        <w:rPr>
          <w:rFonts w:ascii="Arial" w:eastAsia="新細明體" w:hAnsi="Arial" w:cs="Arial"/>
          <w:kern w:val="0"/>
          <w:sz w:val="14"/>
          <w:szCs w:val="14"/>
        </w:rPr>
      </w:pPr>
      <w:r w:rsidRPr="00D05D65">
        <w:rPr>
          <w:rFonts w:ascii="Arial" w:eastAsia="新細明體" w:hAnsi="Arial" w:cs="Arial"/>
          <w:kern w:val="0"/>
          <w:sz w:val="14"/>
        </w:rPr>
        <w:t>The Federated States of Micronesia</w:t>
      </w:r>
    </w:p>
    <w:p w:rsidR="00D05D65" w:rsidRPr="00D05D65" w:rsidRDefault="00D05D65" w:rsidP="00D05D65">
      <w:pPr>
        <w:widowControl/>
        <w:numPr>
          <w:ilvl w:val="0"/>
          <w:numId w:val="2"/>
        </w:numPr>
        <w:ind w:left="0"/>
        <w:rPr>
          <w:rFonts w:ascii="Arial" w:eastAsia="新細明體" w:hAnsi="Arial" w:cs="Arial"/>
          <w:kern w:val="0"/>
          <w:sz w:val="14"/>
          <w:szCs w:val="14"/>
        </w:rPr>
      </w:pPr>
      <w:r w:rsidRPr="00D05D65">
        <w:rPr>
          <w:rFonts w:ascii="Arial" w:eastAsia="新細明體" w:hAnsi="Arial" w:cs="Arial"/>
          <w:kern w:val="0"/>
          <w:sz w:val="14"/>
        </w:rPr>
        <w:t>The Republic of the Marshall Islands</w:t>
      </w:r>
    </w:p>
    <w:p w:rsidR="00D05D65" w:rsidRPr="00D05D65" w:rsidRDefault="00D05D65" w:rsidP="00D05D65">
      <w:pPr>
        <w:widowControl/>
        <w:numPr>
          <w:ilvl w:val="0"/>
          <w:numId w:val="2"/>
        </w:numPr>
        <w:ind w:left="0"/>
        <w:rPr>
          <w:rFonts w:ascii="Arial" w:eastAsia="新細明體" w:hAnsi="Arial" w:cs="Arial"/>
          <w:kern w:val="0"/>
          <w:sz w:val="14"/>
          <w:szCs w:val="14"/>
        </w:rPr>
      </w:pPr>
      <w:r w:rsidRPr="00D05D65">
        <w:rPr>
          <w:rFonts w:ascii="Arial" w:eastAsia="新細明體" w:hAnsi="Arial" w:cs="Arial"/>
          <w:kern w:val="0"/>
          <w:sz w:val="14"/>
        </w:rPr>
        <w:t>The Republic of Palau</w:t>
      </w:r>
    </w:p>
    <w:p w:rsidR="00D05D65" w:rsidRDefault="00D05D65">
      <w:pPr>
        <w:rPr>
          <w:rFonts w:hint="eastAsia"/>
        </w:rPr>
      </w:pPr>
    </w:p>
    <w:p w:rsidR="00D05D65" w:rsidRDefault="00D05D65">
      <w:pPr>
        <w:rPr>
          <w:rFonts w:hint="eastAsia"/>
        </w:rPr>
      </w:pPr>
    </w:p>
    <w:p w:rsidR="00D05D65" w:rsidRPr="00D05D65" w:rsidRDefault="00D05D65" w:rsidP="00D05D65">
      <w:pPr>
        <w:widowControl/>
        <w:rPr>
          <w:rFonts w:ascii="Arial" w:eastAsia="新細明體" w:hAnsi="Arial" w:cs="Arial"/>
          <w:kern w:val="0"/>
          <w:sz w:val="14"/>
          <w:szCs w:val="14"/>
        </w:rPr>
      </w:pPr>
      <w:r w:rsidRPr="00D05D65">
        <w:rPr>
          <w:rFonts w:ascii="Arial" w:eastAsia="新細明體" w:hAnsi="Arial" w:cs="Arial"/>
          <w:kern w:val="0"/>
          <w:sz w:val="14"/>
          <w:szCs w:val="14"/>
        </w:rPr>
        <w:t xml:space="preserve">The historical development of the U.S. government’s colonial and territorial administration—from the </w:t>
      </w:r>
      <w:r w:rsidRPr="00D05D65">
        <w:rPr>
          <w:rFonts w:ascii="Arial" w:eastAsia="新細明體" w:hAnsi="Arial" w:cs="Arial"/>
          <w:b/>
          <w:bCs/>
          <w:kern w:val="0"/>
          <w:sz w:val="14"/>
        </w:rPr>
        <w:t>Bureau of Insular Affairs (BIA)</w:t>
      </w:r>
      <w:r w:rsidRPr="00D05D65">
        <w:rPr>
          <w:rFonts w:ascii="Arial" w:eastAsia="新細明體" w:hAnsi="Arial" w:cs="Arial"/>
          <w:kern w:val="0"/>
          <w:sz w:val="14"/>
          <w:szCs w:val="14"/>
        </w:rPr>
        <w:t xml:space="preserve"> under the War Department to the modern </w:t>
      </w:r>
      <w:r w:rsidRPr="00D05D65">
        <w:rPr>
          <w:rFonts w:ascii="Arial" w:eastAsia="新細明體" w:hAnsi="Arial" w:cs="Arial"/>
          <w:b/>
          <w:bCs/>
          <w:kern w:val="0"/>
          <w:sz w:val="14"/>
        </w:rPr>
        <w:t>Office of Insular Affairs (OIA)</w:t>
      </w:r>
      <w:r w:rsidRPr="00D05D65">
        <w:rPr>
          <w:rFonts w:ascii="Arial" w:eastAsia="新細明體" w:hAnsi="Arial" w:cs="Arial"/>
          <w:kern w:val="0"/>
          <w:sz w:val="14"/>
          <w:szCs w:val="14"/>
        </w:rPr>
        <w:t>—is a heavily studied topic in American legal, political, and imperial history.</w:t>
      </w:r>
    </w:p>
    <w:p w:rsidR="00D05D65" w:rsidRPr="00D05D65" w:rsidRDefault="00D05D65" w:rsidP="00D05D65">
      <w:pPr>
        <w:widowControl/>
        <w:rPr>
          <w:rFonts w:ascii="Arial" w:eastAsia="新細明體" w:hAnsi="Arial" w:cs="Arial"/>
          <w:kern w:val="0"/>
          <w:sz w:val="14"/>
          <w:szCs w:val="14"/>
        </w:rPr>
      </w:pPr>
      <w:r w:rsidRPr="00D05D65">
        <w:rPr>
          <w:rFonts w:ascii="Arial" w:eastAsia="新細明體" w:hAnsi="Arial" w:cs="Arial"/>
          <w:kern w:val="0"/>
          <w:sz w:val="14"/>
          <w:szCs w:val="14"/>
        </w:rPr>
        <w:t>The essential academic citations, foundational texts, legal cases, and archival resources regarding this history are organized below by theme.</w:t>
      </w:r>
    </w:p>
    <w:p w:rsidR="00D05D65" w:rsidRPr="00D05D65" w:rsidRDefault="00D05D65" w:rsidP="00D05D65">
      <w:pPr>
        <w:widowControl/>
        <w:rPr>
          <w:rFonts w:ascii="Arial" w:eastAsia="新細明體" w:hAnsi="Arial" w:cs="Arial"/>
          <w:b/>
          <w:bCs/>
          <w:kern w:val="0"/>
          <w:sz w:val="18"/>
          <w:szCs w:val="18"/>
        </w:rPr>
      </w:pPr>
      <w:r w:rsidRPr="00D05D65">
        <w:rPr>
          <w:rFonts w:ascii="Arial" w:eastAsia="新細明體" w:hAnsi="Arial" w:cs="Arial"/>
          <w:b/>
          <w:bCs/>
          <w:kern w:val="0"/>
          <w:sz w:val="18"/>
          <w:szCs w:val="18"/>
        </w:rPr>
        <w:t>1. Foundational History &amp; Academic Texts</w:t>
      </w:r>
    </w:p>
    <w:p w:rsidR="00D05D65" w:rsidRPr="00D05D65" w:rsidRDefault="00D05D65" w:rsidP="00D05D65">
      <w:pPr>
        <w:widowControl/>
        <w:rPr>
          <w:rFonts w:ascii="Arial" w:eastAsia="新細明體" w:hAnsi="Arial" w:cs="Arial"/>
          <w:kern w:val="0"/>
          <w:sz w:val="14"/>
          <w:szCs w:val="14"/>
        </w:rPr>
      </w:pPr>
      <w:r w:rsidRPr="00D05D65">
        <w:rPr>
          <w:rFonts w:ascii="Arial" w:eastAsia="新細明體" w:hAnsi="Arial" w:cs="Arial"/>
          <w:kern w:val="0"/>
          <w:sz w:val="14"/>
          <w:szCs w:val="14"/>
        </w:rPr>
        <w:lastRenderedPageBreak/>
        <w:t>These books and monographs detail how the United States constructed its administrative apparatus for overseas territories following the Spanish-American War:</w:t>
      </w:r>
    </w:p>
    <w:p w:rsidR="00D05D65" w:rsidRPr="00D05D65" w:rsidRDefault="00D05D65" w:rsidP="00D05D65">
      <w:pPr>
        <w:widowControl/>
        <w:numPr>
          <w:ilvl w:val="0"/>
          <w:numId w:val="3"/>
        </w:numPr>
        <w:ind w:left="0"/>
        <w:rPr>
          <w:rFonts w:ascii="Arial" w:eastAsia="新細明體" w:hAnsi="Arial" w:cs="Arial"/>
          <w:kern w:val="0"/>
          <w:sz w:val="14"/>
          <w:szCs w:val="14"/>
        </w:rPr>
      </w:pPr>
      <w:r w:rsidRPr="00D05D65">
        <w:rPr>
          <w:rFonts w:ascii="Arial" w:eastAsia="新細明體" w:hAnsi="Arial" w:cs="Arial"/>
          <w:b/>
          <w:bCs/>
          <w:kern w:val="0"/>
          <w:sz w:val="14"/>
        </w:rPr>
        <w:t>Go, Julian.</w:t>
      </w:r>
      <w:r w:rsidRPr="00D05D65">
        <w:rPr>
          <w:rFonts w:ascii="Arial" w:eastAsia="新細明體" w:hAnsi="Arial" w:cs="Arial"/>
          <w:kern w:val="0"/>
          <w:sz w:val="14"/>
        </w:rPr>
        <w:t xml:space="preserve"> </w:t>
      </w:r>
      <w:r w:rsidRPr="00D05D65">
        <w:rPr>
          <w:rFonts w:ascii="Arial" w:eastAsia="新細明體" w:hAnsi="Arial" w:cs="Arial"/>
          <w:i/>
          <w:iCs/>
          <w:kern w:val="0"/>
          <w:sz w:val="14"/>
        </w:rPr>
        <w:t>American Empire and the Politics of Meaning: Elite Political Cultures in the Philippines and Puerto Rico during U.S. Colonial Rule</w:t>
      </w:r>
      <w:r w:rsidRPr="00D05D65">
        <w:rPr>
          <w:rFonts w:ascii="Arial" w:eastAsia="新細明體" w:hAnsi="Arial" w:cs="Arial"/>
          <w:kern w:val="0"/>
          <w:sz w:val="14"/>
        </w:rPr>
        <w:t>. Duke University Press, 2008.</w:t>
      </w:r>
    </w:p>
    <w:p w:rsidR="00D05D65" w:rsidRPr="00D05D65" w:rsidRDefault="00D05D65" w:rsidP="00D05D65">
      <w:pPr>
        <w:widowControl/>
        <w:numPr>
          <w:ilvl w:val="1"/>
          <w:numId w:val="3"/>
        </w:numPr>
        <w:ind w:left="0"/>
        <w:rPr>
          <w:rFonts w:ascii="Arial" w:eastAsia="新細明體" w:hAnsi="Arial" w:cs="Arial"/>
          <w:kern w:val="0"/>
          <w:sz w:val="14"/>
          <w:szCs w:val="14"/>
        </w:rPr>
      </w:pPr>
      <w:r w:rsidRPr="00D05D65">
        <w:rPr>
          <w:rFonts w:ascii="Arial" w:eastAsia="新細明體" w:hAnsi="Arial" w:cs="Arial"/>
          <w:i/>
          <w:iCs/>
          <w:kern w:val="0"/>
          <w:sz w:val="14"/>
        </w:rPr>
        <w:t>Focus</w:t>
      </w:r>
      <w:r w:rsidRPr="00D05D65">
        <w:rPr>
          <w:rFonts w:ascii="Arial" w:eastAsia="新細明體" w:hAnsi="Arial" w:cs="Arial"/>
          <w:kern w:val="0"/>
          <w:sz w:val="14"/>
        </w:rPr>
        <w:t>: Analyzes the early years of the Bureau of Insular Affairs and how U.S. colonial administrators shaped the local political elites.</w:t>
      </w:r>
    </w:p>
    <w:p w:rsidR="00D05D65" w:rsidRPr="00D05D65" w:rsidRDefault="00D05D65" w:rsidP="00D05D65">
      <w:pPr>
        <w:widowControl/>
        <w:numPr>
          <w:ilvl w:val="0"/>
          <w:numId w:val="3"/>
        </w:numPr>
        <w:ind w:left="0"/>
        <w:rPr>
          <w:rFonts w:ascii="Arial" w:eastAsia="新細明體" w:hAnsi="Arial" w:cs="Arial"/>
          <w:kern w:val="0"/>
          <w:sz w:val="14"/>
          <w:szCs w:val="14"/>
        </w:rPr>
      </w:pPr>
      <w:proofErr w:type="spellStart"/>
      <w:r w:rsidRPr="00D05D65">
        <w:rPr>
          <w:rFonts w:ascii="Arial" w:eastAsia="新細明體" w:hAnsi="Arial" w:cs="Arial"/>
          <w:b/>
          <w:bCs/>
          <w:kern w:val="0"/>
          <w:sz w:val="14"/>
        </w:rPr>
        <w:t>Immerwahr</w:t>
      </w:r>
      <w:proofErr w:type="spellEnd"/>
      <w:r w:rsidRPr="00D05D65">
        <w:rPr>
          <w:rFonts w:ascii="Arial" w:eastAsia="新細明體" w:hAnsi="Arial" w:cs="Arial"/>
          <w:b/>
          <w:bCs/>
          <w:kern w:val="0"/>
          <w:sz w:val="14"/>
        </w:rPr>
        <w:t>, Daniel.</w:t>
      </w:r>
      <w:r w:rsidRPr="00D05D65">
        <w:rPr>
          <w:rFonts w:ascii="Arial" w:eastAsia="新細明體" w:hAnsi="Arial" w:cs="Arial"/>
          <w:kern w:val="0"/>
          <w:sz w:val="14"/>
        </w:rPr>
        <w:t xml:space="preserve"> </w:t>
      </w:r>
      <w:r w:rsidRPr="00D05D65">
        <w:rPr>
          <w:rFonts w:ascii="Arial" w:eastAsia="新細明體" w:hAnsi="Arial" w:cs="Arial"/>
          <w:i/>
          <w:iCs/>
          <w:kern w:val="0"/>
          <w:sz w:val="14"/>
        </w:rPr>
        <w:t>How to Hide an Empire: A History of the Greater United States</w:t>
      </w:r>
      <w:r w:rsidRPr="00D05D65">
        <w:rPr>
          <w:rFonts w:ascii="Arial" w:eastAsia="新細明體" w:hAnsi="Arial" w:cs="Arial"/>
          <w:kern w:val="0"/>
          <w:sz w:val="14"/>
        </w:rPr>
        <w:t>. Farrar, Straus and Giroux, 2019.</w:t>
      </w:r>
    </w:p>
    <w:p w:rsidR="00D05D65" w:rsidRPr="00D05D65" w:rsidRDefault="00D05D65" w:rsidP="00D05D65">
      <w:pPr>
        <w:widowControl/>
        <w:numPr>
          <w:ilvl w:val="1"/>
          <w:numId w:val="3"/>
        </w:numPr>
        <w:ind w:left="0"/>
        <w:rPr>
          <w:rFonts w:ascii="Arial" w:eastAsia="新細明體" w:hAnsi="Arial" w:cs="Arial"/>
          <w:kern w:val="0"/>
          <w:sz w:val="14"/>
          <w:szCs w:val="14"/>
        </w:rPr>
      </w:pPr>
      <w:r w:rsidRPr="00D05D65">
        <w:rPr>
          <w:rFonts w:ascii="Arial" w:eastAsia="新細明體" w:hAnsi="Arial" w:cs="Arial"/>
          <w:i/>
          <w:iCs/>
          <w:kern w:val="0"/>
          <w:sz w:val="14"/>
        </w:rPr>
        <w:t>Focus</w:t>
      </w:r>
      <w:r w:rsidRPr="00D05D65">
        <w:rPr>
          <w:rFonts w:ascii="Arial" w:eastAsia="新細明體" w:hAnsi="Arial" w:cs="Arial"/>
          <w:kern w:val="0"/>
          <w:sz w:val="14"/>
        </w:rPr>
        <w:t>: A comprehensive history of U.S. overseas territories, documenting the structural shifts from military "insular" governance to modern DOI administration.</w:t>
      </w:r>
    </w:p>
    <w:p w:rsidR="00D05D65" w:rsidRPr="00D05D65" w:rsidRDefault="00D05D65" w:rsidP="00D05D65">
      <w:pPr>
        <w:widowControl/>
        <w:numPr>
          <w:ilvl w:val="0"/>
          <w:numId w:val="3"/>
        </w:numPr>
        <w:ind w:left="0"/>
        <w:rPr>
          <w:rFonts w:ascii="Arial" w:eastAsia="新細明體" w:hAnsi="Arial" w:cs="Arial"/>
          <w:kern w:val="0"/>
          <w:sz w:val="14"/>
          <w:szCs w:val="14"/>
        </w:rPr>
      </w:pPr>
      <w:r w:rsidRPr="00D05D65">
        <w:rPr>
          <w:rFonts w:ascii="Arial" w:eastAsia="新細明體" w:hAnsi="Arial" w:cs="Arial"/>
          <w:b/>
          <w:bCs/>
          <w:kern w:val="0"/>
          <w:sz w:val="14"/>
        </w:rPr>
        <w:t>Pomeroy, Earl S.</w:t>
      </w:r>
      <w:r w:rsidRPr="00D05D65">
        <w:rPr>
          <w:rFonts w:ascii="Arial" w:eastAsia="新細明體" w:hAnsi="Arial" w:cs="Arial"/>
          <w:kern w:val="0"/>
          <w:sz w:val="14"/>
        </w:rPr>
        <w:t xml:space="preserve"> </w:t>
      </w:r>
      <w:r w:rsidRPr="00D05D65">
        <w:rPr>
          <w:rFonts w:ascii="Arial" w:eastAsia="新細明體" w:hAnsi="Arial" w:cs="Arial"/>
          <w:i/>
          <w:iCs/>
          <w:kern w:val="0"/>
          <w:sz w:val="14"/>
        </w:rPr>
        <w:t>The Territories and the United States, 1861-1890: Studies in Colonial Administration</w:t>
      </w:r>
      <w:r w:rsidRPr="00D05D65">
        <w:rPr>
          <w:rFonts w:ascii="Arial" w:eastAsia="新細明體" w:hAnsi="Arial" w:cs="Arial"/>
          <w:kern w:val="0"/>
          <w:sz w:val="14"/>
        </w:rPr>
        <w:t>. University of Pennsylvania Press, 1947 (reprinted by University of Washington Press, 1969).</w:t>
      </w:r>
    </w:p>
    <w:p w:rsidR="00D05D65" w:rsidRPr="00D05D65" w:rsidRDefault="00D05D65" w:rsidP="00D05D65">
      <w:pPr>
        <w:widowControl/>
        <w:numPr>
          <w:ilvl w:val="1"/>
          <w:numId w:val="3"/>
        </w:numPr>
        <w:ind w:left="0"/>
        <w:rPr>
          <w:rFonts w:ascii="Arial" w:eastAsia="新細明體" w:hAnsi="Arial" w:cs="Arial"/>
          <w:kern w:val="0"/>
          <w:sz w:val="14"/>
          <w:szCs w:val="14"/>
        </w:rPr>
      </w:pPr>
      <w:r w:rsidRPr="00D05D65">
        <w:rPr>
          <w:rFonts w:ascii="Arial" w:eastAsia="新細明體" w:hAnsi="Arial" w:cs="Arial"/>
          <w:i/>
          <w:iCs/>
          <w:kern w:val="0"/>
          <w:sz w:val="14"/>
        </w:rPr>
        <w:t>Focus</w:t>
      </w:r>
      <w:r w:rsidRPr="00D05D65">
        <w:rPr>
          <w:rFonts w:ascii="Arial" w:eastAsia="新細明體" w:hAnsi="Arial" w:cs="Arial"/>
          <w:kern w:val="0"/>
          <w:sz w:val="14"/>
        </w:rPr>
        <w:t>: Though covering an earlier period, this is the classic text on how the Department of the Interior initially handled territorial governance before the 1898 expansion.</w:t>
      </w:r>
    </w:p>
    <w:p w:rsidR="00D05D65" w:rsidRPr="00D05D65" w:rsidRDefault="00D05D65" w:rsidP="00D05D65">
      <w:pPr>
        <w:widowControl/>
        <w:rPr>
          <w:rFonts w:ascii="Arial" w:eastAsia="新細明體" w:hAnsi="Arial" w:cs="Arial"/>
          <w:b/>
          <w:bCs/>
          <w:kern w:val="0"/>
          <w:sz w:val="18"/>
          <w:szCs w:val="18"/>
        </w:rPr>
      </w:pPr>
      <w:r w:rsidRPr="00D05D65">
        <w:rPr>
          <w:rFonts w:ascii="Arial" w:eastAsia="新細明體" w:hAnsi="Arial" w:cs="Arial"/>
          <w:b/>
          <w:bCs/>
          <w:kern w:val="0"/>
          <w:sz w:val="18"/>
          <w:szCs w:val="18"/>
        </w:rPr>
        <w:t>2. Legal Framework &amp; "The Insular Cases"</w:t>
      </w:r>
    </w:p>
    <w:p w:rsidR="00D05D65" w:rsidRPr="00D05D65" w:rsidRDefault="00D05D65" w:rsidP="00D05D65">
      <w:pPr>
        <w:widowControl/>
        <w:rPr>
          <w:rFonts w:ascii="Arial" w:eastAsia="新細明體" w:hAnsi="Arial" w:cs="Arial"/>
          <w:kern w:val="0"/>
          <w:sz w:val="14"/>
          <w:szCs w:val="14"/>
        </w:rPr>
      </w:pPr>
      <w:r w:rsidRPr="00D05D65">
        <w:rPr>
          <w:rFonts w:ascii="Arial" w:eastAsia="新細明體" w:hAnsi="Arial" w:cs="Arial"/>
          <w:kern w:val="0"/>
          <w:sz w:val="14"/>
          <w:szCs w:val="14"/>
        </w:rPr>
        <w:t>The legal history of the OIA’s jurisdiction is tied strictly to early 20th-century jurisprudence, which defined what "insular" meant in American law: [</w:t>
      </w:r>
      <w:hyperlink r:id="rId24" w:history="1">
        <w:r w:rsidRPr="00D05D65">
          <w:rPr>
            <w:rFonts w:ascii="Arial" w:eastAsia="新細明體" w:hAnsi="Arial" w:cs="Arial"/>
            <w:color w:val="0000FF"/>
            <w:kern w:val="0"/>
            <w:sz w:val="14"/>
            <w:u w:val="single"/>
          </w:rPr>
          <w:t>1</w:t>
        </w:r>
      </w:hyperlink>
      <w:r w:rsidRPr="00D05D65">
        <w:rPr>
          <w:rFonts w:ascii="Arial" w:eastAsia="新細明體" w:hAnsi="Arial" w:cs="Arial"/>
          <w:kern w:val="0"/>
          <w:sz w:val="14"/>
          <w:szCs w:val="14"/>
        </w:rPr>
        <w:t xml:space="preserve">, </w:t>
      </w:r>
      <w:hyperlink r:id="rId25" w:history="1">
        <w:r w:rsidRPr="00D05D65">
          <w:rPr>
            <w:rFonts w:ascii="Arial" w:eastAsia="新細明體" w:hAnsi="Arial" w:cs="Arial"/>
            <w:color w:val="0000FF"/>
            <w:kern w:val="0"/>
            <w:sz w:val="14"/>
            <w:u w:val="single"/>
          </w:rPr>
          <w:t>2</w:t>
        </w:r>
      </w:hyperlink>
      <w:r w:rsidRPr="00D05D65">
        <w:rPr>
          <w:rFonts w:ascii="Arial" w:eastAsia="新細明體" w:hAnsi="Arial" w:cs="Arial"/>
          <w:kern w:val="0"/>
          <w:sz w:val="14"/>
          <w:szCs w:val="14"/>
        </w:rPr>
        <w:t>]</w:t>
      </w:r>
    </w:p>
    <w:p w:rsidR="00D05D65" w:rsidRPr="00D05D65" w:rsidRDefault="00D05D65" w:rsidP="00D05D65">
      <w:pPr>
        <w:widowControl/>
        <w:numPr>
          <w:ilvl w:val="0"/>
          <w:numId w:val="4"/>
        </w:numPr>
        <w:ind w:left="0"/>
        <w:rPr>
          <w:rFonts w:ascii="Arial" w:eastAsia="新細明體" w:hAnsi="Arial" w:cs="Arial"/>
          <w:kern w:val="0"/>
          <w:sz w:val="14"/>
          <w:szCs w:val="14"/>
        </w:rPr>
      </w:pPr>
      <w:r w:rsidRPr="00D05D65">
        <w:rPr>
          <w:rFonts w:ascii="Arial" w:eastAsia="新細明體" w:hAnsi="Arial" w:cs="Arial"/>
          <w:b/>
          <w:bCs/>
          <w:kern w:val="0"/>
          <w:sz w:val="14"/>
        </w:rPr>
        <w:t>Burnett, Christina Duffy, and Burke Marshall, eds.</w:t>
      </w:r>
      <w:r w:rsidRPr="00D05D65">
        <w:rPr>
          <w:rFonts w:ascii="Arial" w:eastAsia="新細明體" w:hAnsi="Arial" w:cs="Arial"/>
          <w:kern w:val="0"/>
          <w:sz w:val="14"/>
        </w:rPr>
        <w:t xml:space="preserve"> </w:t>
      </w:r>
      <w:r w:rsidRPr="00D05D65">
        <w:rPr>
          <w:rFonts w:ascii="Arial" w:eastAsia="新細明體" w:hAnsi="Arial" w:cs="Arial"/>
          <w:i/>
          <w:iCs/>
          <w:kern w:val="0"/>
          <w:sz w:val="14"/>
        </w:rPr>
        <w:t>Foreign in a Domestic Sense: Puerto Rico, American Expansion, and the Constitution</w:t>
      </w:r>
      <w:r w:rsidRPr="00D05D65">
        <w:rPr>
          <w:rFonts w:ascii="Arial" w:eastAsia="新細明體" w:hAnsi="Arial" w:cs="Arial"/>
          <w:kern w:val="0"/>
          <w:sz w:val="14"/>
        </w:rPr>
        <w:t>. Duke University Press, 2001.</w:t>
      </w:r>
    </w:p>
    <w:p w:rsidR="00D05D65" w:rsidRPr="00D05D65" w:rsidRDefault="00D05D65" w:rsidP="00D05D65">
      <w:pPr>
        <w:widowControl/>
        <w:numPr>
          <w:ilvl w:val="1"/>
          <w:numId w:val="4"/>
        </w:numPr>
        <w:ind w:left="0"/>
        <w:rPr>
          <w:rFonts w:ascii="Arial" w:eastAsia="新細明體" w:hAnsi="Arial" w:cs="Arial"/>
          <w:kern w:val="0"/>
          <w:sz w:val="14"/>
          <w:szCs w:val="14"/>
        </w:rPr>
      </w:pPr>
      <w:r w:rsidRPr="00D05D65">
        <w:rPr>
          <w:rFonts w:ascii="Arial" w:eastAsia="新細明體" w:hAnsi="Arial" w:cs="Arial"/>
          <w:i/>
          <w:iCs/>
          <w:kern w:val="0"/>
          <w:sz w:val="14"/>
        </w:rPr>
        <w:t>Focus</w:t>
      </w:r>
      <w:r w:rsidRPr="00D05D65">
        <w:rPr>
          <w:rFonts w:ascii="Arial" w:eastAsia="新細明體" w:hAnsi="Arial" w:cs="Arial"/>
          <w:kern w:val="0"/>
          <w:sz w:val="14"/>
        </w:rPr>
        <w:t xml:space="preserve">: A compilation of legal and historical essays detailing the </w:t>
      </w:r>
      <w:r w:rsidRPr="00D05D65">
        <w:rPr>
          <w:rFonts w:ascii="Arial" w:eastAsia="新細明體" w:hAnsi="Arial" w:cs="Arial"/>
          <w:i/>
          <w:iCs/>
          <w:kern w:val="0"/>
          <w:sz w:val="14"/>
        </w:rPr>
        <w:t>Insular Cases</w:t>
      </w:r>
      <w:r w:rsidRPr="00D05D65">
        <w:rPr>
          <w:rFonts w:ascii="Arial" w:eastAsia="新細明體" w:hAnsi="Arial" w:cs="Arial"/>
          <w:kern w:val="0"/>
          <w:sz w:val="14"/>
        </w:rPr>
        <w:t xml:space="preserve"> (such as </w:t>
      </w:r>
      <w:proofErr w:type="spellStart"/>
      <w:r w:rsidRPr="00D05D65">
        <w:rPr>
          <w:rFonts w:ascii="Arial" w:eastAsia="新細明體" w:hAnsi="Arial" w:cs="Arial"/>
          <w:i/>
          <w:iCs/>
          <w:kern w:val="0"/>
          <w:sz w:val="14"/>
        </w:rPr>
        <w:t>Downes</w:t>
      </w:r>
      <w:proofErr w:type="spellEnd"/>
      <w:r w:rsidRPr="00D05D65">
        <w:rPr>
          <w:rFonts w:ascii="Arial" w:eastAsia="新細明體" w:hAnsi="Arial" w:cs="Arial"/>
          <w:i/>
          <w:iCs/>
          <w:kern w:val="0"/>
          <w:sz w:val="14"/>
        </w:rPr>
        <w:t xml:space="preserve"> v. Bidwell</w:t>
      </w:r>
      <w:r w:rsidRPr="00D05D65">
        <w:rPr>
          <w:rFonts w:ascii="Arial" w:eastAsia="新細明體" w:hAnsi="Arial" w:cs="Arial"/>
          <w:kern w:val="0"/>
          <w:sz w:val="14"/>
        </w:rPr>
        <w:t>, 1901) and how they established the category of "unincorporated territories".</w:t>
      </w:r>
      <w:r w:rsidRPr="00D05D65">
        <w:rPr>
          <w:rFonts w:ascii="Arial" w:eastAsia="新細明體" w:hAnsi="Arial" w:cs="Arial"/>
          <w:kern w:val="0"/>
          <w:sz w:val="14"/>
          <w:szCs w:val="14"/>
        </w:rPr>
        <w:t xml:space="preserve"> [</w:t>
      </w:r>
      <w:hyperlink r:id="rId26" w:history="1">
        <w:r w:rsidRPr="00D05D65">
          <w:rPr>
            <w:rFonts w:ascii="Arial" w:eastAsia="新細明體" w:hAnsi="Arial" w:cs="Arial"/>
            <w:color w:val="0000FF"/>
            <w:kern w:val="0"/>
            <w:sz w:val="14"/>
            <w:u w:val="single"/>
          </w:rPr>
          <w:t>1</w:t>
        </w:r>
      </w:hyperlink>
      <w:r w:rsidRPr="00D05D65">
        <w:rPr>
          <w:rFonts w:ascii="Arial" w:eastAsia="新細明體" w:hAnsi="Arial" w:cs="Arial"/>
          <w:kern w:val="0"/>
          <w:sz w:val="14"/>
          <w:szCs w:val="14"/>
        </w:rPr>
        <w:t>]</w:t>
      </w:r>
    </w:p>
    <w:p w:rsidR="00D05D65" w:rsidRPr="00D05D65" w:rsidRDefault="00D05D65" w:rsidP="00D05D65">
      <w:pPr>
        <w:widowControl/>
        <w:numPr>
          <w:ilvl w:val="0"/>
          <w:numId w:val="4"/>
        </w:numPr>
        <w:ind w:left="0"/>
        <w:rPr>
          <w:rFonts w:ascii="Arial" w:eastAsia="新細明體" w:hAnsi="Arial" w:cs="Arial"/>
          <w:kern w:val="0"/>
          <w:sz w:val="14"/>
          <w:szCs w:val="14"/>
        </w:rPr>
      </w:pPr>
      <w:r w:rsidRPr="00D05D65">
        <w:rPr>
          <w:rFonts w:ascii="Arial" w:eastAsia="新細明體" w:hAnsi="Arial" w:cs="Arial"/>
          <w:b/>
          <w:bCs/>
          <w:kern w:val="0"/>
          <w:sz w:val="14"/>
        </w:rPr>
        <w:t>Sparrow, Bartholomew H.</w:t>
      </w:r>
      <w:r w:rsidRPr="00D05D65">
        <w:rPr>
          <w:rFonts w:ascii="Arial" w:eastAsia="新細明體" w:hAnsi="Arial" w:cs="Arial"/>
          <w:kern w:val="0"/>
          <w:sz w:val="14"/>
        </w:rPr>
        <w:t xml:space="preserve"> </w:t>
      </w:r>
      <w:r w:rsidRPr="00D05D65">
        <w:rPr>
          <w:rFonts w:ascii="Arial" w:eastAsia="新細明體" w:hAnsi="Arial" w:cs="Arial"/>
          <w:i/>
          <w:iCs/>
          <w:kern w:val="0"/>
          <w:sz w:val="14"/>
        </w:rPr>
        <w:t>The Insular Cases and the Emergence of American Empire</w:t>
      </w:r>
      <w:r w:rsidRPr="00D05D65">
        <w:rPr>
          <w:rFonts w:ascii="Arial" w:eastAsia="新細明體" w:hAnsi="Arial" w:cs="Arial"/>
          <w:kern w:val="0"/>
          <w:sz w:val="14"/>
        </w:rPr>
        <w:t>. University Press of Kansas, 2006.</w:t>
      </w:r>
    </w:p>
    <w:p w:rsidR="00D05D65" w:rsidRPr="00D05D65" w:rsidRDefault="00D05D65" w:rsidP="00D05D65">
      <w:pPr>
        <w:widowControl/>
        <w:numPr>
          <w:ilvl w:val="1"/>
          <w:numId w:val="4"/>
        </w:numPr>
        <w:ind w:left="0"/>
        <w:rPr>
          <w:rFonts w:ascii="Arial" w:eastAsia="新細明體" w:hAnsi="Arial" w:cs="Arial"/>
          <w:kern w:val="0"/>
          <w:sz w:val="14"/>
          <w:szCs w:val="14"/>
        </w:rPr>
      </w:pPr>
      <w:r w:rsidRPr="00D05D65">
        <w:rPr>
          <w:rFonts w:ascii="Arial" w:eastAsia="新細明體" w:hAnsi="Arial" w:cs="Arial"/>
          <w:i/>
          <w:iCs/>
          <w:kern w:val="0"/>
          <w:sz w:val="14"/>
        </w:rPr>
        <w:t>Focus</w:t>
      </w:r>
      <w:r w:rsidRPr="00D05D65">
        <w:rPr>
          <w:rFonts w:ascii="Arial" w:eastAsia="新細明體" w:hAnsi="Arial" w:cs="Arial"/>
          <w:kern w:val="0"/>
          <w:sz w:val="14"/>
        </w:rPr>
        <w:t>: Directly connects the rulings of the Supreme Court to the administrative powers granted to the early Bureau of Insular Affairs.</w:t>
      </w:r>
    </w:p>
    <w:p w:rsidR="00D05D65" w:rsidRPr="00D05D65" w:rsidRDefault="00D05D65" w:rsidP="00D05D65">
      <w:pPr>
        <w:widowControl/>
        <w:rPr>
          <w:rFonts w:ascii="Arial" w:eastAsia="新細明體" w:hAnsi="Arial" w:cs="Arial"/>
          <w:b/>
          <w:bCs/>
          <w:kern w:val="0"/>
          <w:sz w:val="18"/>
          <w:szCs w:val="18"/>
        </w:rPr>
      </w:pPr>
      <w:r w:rsidRPr="00D05D65">
        <w:rPr>
          <w:rFonts w:ascii="Arial" w:eastAsia="新細明體" w:hAnsi="Arial" w:cs="Arial"/>
          <w:b/>
          <w:bCs/>
          <w:kern w:val="0"/>
          <w:sz w:val="18"/>
          <w:szCs w:val="18"/>
        </w:rPr>
        <w:t>3. Key Archival Collections (Primary Sources)</w:t>
      </w:r>
    </w:p>
    <w:p w:rsidR="00D05D65" w:rsidRPr="00D05D65" w:rsidRDefault="00D05D65" w:rsidP="00D05D65">
      <w:pPr>
        <w:widowControl/>
        <w:rPr>
          <w:rFonts w:ascii="Arial" w:eastAsia="新細明體" w:hAnsi="Arial" w:cs="Arial"/>
          <w:kern w:val="0"/>
          <w:sz w:val="14"/>
          <w:szCs w:val="14"/>
        </w:rPr>
      </w:pPr>
      <w:r w:rsidRPr="00D05D65">
        <w:rPr>
          <w:rFonts w:ascii="Arial" w:eastAsia="新細明體" w:hAnsi="Arial" w:cs="Arial"/>
          <w:kern w:val="0"/>
          <w:sz w:val="14"/>
          <w:szCs w:val="14"/>
        </w:rPr>
        <w:t>If you are doing primary source research, the official historical records of these agencies are preserved across specific Record Groups (RGs) at the National Archives and Records Administration (NARA): [</w:t>
      </w:r>
      <w:hyperlink r:id="rId27" w:history="1">
        <w:r w:rsidRPr="00D05D65">
          <w:rPr>
            <w:rFonts w:ascii="Arial" w:eastAsia="新細明體" w:hAnsi="Arial" w:cs="Arial"/>
            <w:color w:val="0000FF"/>
            <w:kern w:val="0"/>
            <w:sz w:val="14"/>
            <w:u w:val="single"/>
          </w:rPr>
          <w:t>1</w:t>
        </w:r>
      </w:hyperlink>
      <w:r w:rsidRPr="00D05D65">
        <w:rPr>
          <w:rFonts w:ascii="Arial" w:eastAsia="新細明體" w:hAnsi="Arial" w:cs="Arial"/>
          <w:kern w:val="0"/>
          <w:sz w:val="14"/>
          <w:szCs w:val="14"/>
        </w:rPr>
        <w:t>]</w:t>
      </w:r>
    </w:p>
    <w:p w:rsidR="00D05D65" w:rsidRPr="00D05D65" w:rsidRDefault="00D05D65" w:rsidP="00D05D65">
      <w:pPr>
        <w:widowControl/>
        <w:numPr>
          <w:ilvl w:val="0"/>
          <w:numId w:val="5"/>
        </w:numPr>
        <w:ind w:left="0"/>
        <w:rPr>
          <w:rFonts w:ascii="Arial" w:eastAsia="新細明體" w:hAnsi="Arial" w:cs="Arial"/>
          <w:kern w:val="0"/>
          <w:sz w:val="14"/>
          <w:szCs w:val="14"/>
        </w:rPr>
      </w:pPr>
      <w:r w:rsidRPr="00D05D65">
        <w:rPr>
          <w:rFonts w:ascii="Arial" w:eastAsia="新細明體" w:hAnsi="Arial" w:cs="Arial"/>
          <w:b/>
          <w:bCs/>
          <w:kern w:val="0"/>
          <w:sz w:val="14"/>
        </w:rPr>
        <w:t>U.S. National Archives, Record Group 350:</w:t>
      </w:r>
      <w:r w:rsidRPr="00D05D65">
        <w:rPr>
          <w:rFonts w:ascii="Arial" w:eastAsia="新細明體" w:hAnsi="Arial" w:cs="Arial"/>
          <w:kern w:val="0"/>
          <w:sz w:val="14"/>
        </w:rPr>
        <w:t xml:space="preserve"> </w:t>
      </w:r>
      <w:r w:rsidRPr="00D05D65">
        <w:rPr>
          <w:rFonts w:ascii="Arial" w:eastAsia="新細明體" w:hAnsi="Arial" w:cs="Arial"/>
          <w:i/>
          <w:iCs/>
          <w:kern w:val="0"/>
          <w:sz w:val="14"/>
        </w:rPr>
        <w:t>Records of the Bureau of Insular Affairs, 1898–1945</w:t>
      </w:r>
      <w:r w:rsidRPr="00D05D65">
        <w:rPr>
          <w:rFonts w:ascii="Arial" w:eastAsia="新細明體" w:hAnsi="Arial" w:cs="Arial"/>
          <w:kern w:val="0"/>
          <w:sz w:val="14"/>
        </w:rPr>
        <w:t>.</w:t>
      </w:r>
    </w:p>
    <w:p w:rsidR="00D05D65" w:rsidRPr="00D05D65" w:rsidRDefault="00D05D65" w:rsidP="00D05D65">
      <w:pPr>
        <w:widowControl/>
        <w:numPr>
          <w:ilvl w:val="1"/>
          <w:numId w:val="5"/>
        </w:numPr>
        <w:ind w:left="0"/>
        <w:rPr>
          <w:rFonts w:ascii="Arial" w:eastAsia="新細明體" w:hAnsi="Arial" w:cs="Arial"/>
          <w:kern w:val="0"/>
          <w:sz w:val="14"/>
          <w:szCs w:val="14"/>
        </w:rPr>
      </w:pPr>
      <w:r w:rsidRPr="00D05D65">
        <w:rPr>
          <w:rFonts w:ascii="Arial" w:eastAsia="新細明體" w:hAnsi="Arial" w:cs="Arial"/>
          <w:i/>
          <w:iCs/>
          <w:kern w:val="0"/>
          <w:sz w:val="14"/>
        </w:rPr>
        <w:t>Finding Aid Reference</w:t>
      </w:r>
      <w:r w:rsidRPr="00D05D65">
        <w:rPr>
          <w:rFonts w:ascii="Arial" w:eastAsia="新細明體" w:hAnsi="Arial" w:cs="Arial"/>
          <w:kern w:val="0"/>
          <w:sz w:val="14"/>
        </w:rPr>
        <w:t xml:space="preserve">: Maxwell, Richard S. </w:t>
      </w:r>
      <w:r w:rsidRPr="00D05D65">
        <w:rPr>
          <w:rFonts w:ascii="Arial" w:eastAsia="新細明體" w:hAnsi="Arial" w:cs="Arial"/>
          <w:i/>
          <w:iCs/>
          <w:kern w:val="0"/>
          <w:sz w:val="14"/>
        </w:rPr>
        <w:t>Preliminary Inventory of the Records of the Bureau of Insular Affairs</w:t>
      </w:r>
      <w:r w:rsidRPr="00D05D65">
        <w:rPr>
          <w:rFonts w:ascii="Arial" w:eastAsia="新細明體" w:hAnsi="Arial" w:cs="Arial"/>
          <w:kern w:val="0"/>
          <w:sz w:val="14"/>
        </w:rPr>
        <w:t xml:space="preserve">. National Archives Building, </w:t>
      </w:r>
      <w:hyperlink r:id="rId28" w:tgtFrame="_blank" w:history="1">
        <w:r w:rsidRPr="00D05D65">
          <w:rPr>
            <w:rFonts w:ascii="Arial" w:eastAsia="新細明體" w:hAnsi="Arial" w:cs="Arial"/>
            <w:b/>
            <w:bCs/>
            <w:color w:val="0000FF"/>
            <w:kern w:val="0"/>
            <w:sz w:val="14"/>
            <w:u w:val="single"/>
          </w:rPr>
          <w:t>NARA Preliminary Inventory 130</w:t>
        </w:r>
      </w:hyperlink>
      <w:r w:rsidRPr="00D05D65">
        <w:rPr>
          <w:rFonts w:ascii="Arial" w:eastAsia="新細明體" w:hAnsi="Arial" w:cs="Arial"/>
          <w:kern w:val="0"/>
          <w:sz w:val="14"/>
        </w:rPr>
        <w:t>, 1960.</w:t>
      </w:r>
      <w:r w:rsidRPr="00D05D65">
        <w:rPr>
          <w:rFonts w:ascii="Arial" w:eastAsia="新細明體" w:hAnsi="Arial" w:cs="Arial"/>
          <w:kern w:val="0"/>
          <w:sz w:val="14"/>
          <w:szCs w:val="14"/>
        </w:rPr>
        <w:t xml:space="preserve"> [</w:t>
      </w:r>
      <w:hyperlink r:id="rId29" w:history="1">
        <w:r w:rsidRPr="00D05D65">
          <w:rPr>
            <w:rFonts w:ascii="Arial" w:eastAsia="新細明體" w:hAnsi="Arial" w:cs="Arial"/>
            <w:color w:val="0000FF"/>
            <w:kern w:val="0"/>
            <w:sz w:val="14"/>
            <w:u w:val="single"/>
          </w:rPr>
          <w:t>1</w:t>
        </w:r>
      </w:hyperlink>
      <w:r w:rsidRPr="00D05D65">
        <w:rPr>
          <w:rFonts w:ascii="Arial" w:eastAsia="新細明體" w:hAnsi="Arial" w:cs="Arial"/>
          <w:kern w:val="0"/>
          <w:sz w:val="14"/>
          <w:szCs w:val="14"/>
        </w:rPr>
        <w:t xml:space="preserve">, </w:t>
      </w:r>
      <w:hyperlink r:id="rId30" w:history="1">
        <w:r w:rsidRPr="00D05D65">
          <w:rPr>
            <w:rFonts w:ascii="Arial" w:eastAsia="新細明體" w:hAnsi="Arial" w:cs="Arial"/>
            <w:color w:val="0000FF"/>
            <w:kern w:val="0"/>
            <w:sz w:val="14"/>
            <w:u w:val="single"/>
          </w:rPr>
          <w:t>2</w:t>
        </w:r>
      </w:hyperlink>
      <w:r w:rsidRPr="00D05D65">
        <w:rPr>
          <w:rFonts w:ascii="Arial" w:eastAsia="新細明體" w:hAnsi="Arial" w:cs="Arial"/>
          <w:kern w:val="0"/>
          <w:sz w:val="14"/>
          <w:szCs w:val="14"/>
        </w:rPr>
        <w:t>]</w:t>
      </w:r>
    </w:p>
    <w:p w:rsidR="00D05D65" w:rsidRPr="00D05D65" w:rsidRDefault="00D05D65" w:rsidP="00D05D65">
      <w:pPr>
        <w:widowControl/>
        <w:numPr>
          <w:ilvl w:val="0"/>
          <w:numId w:val="5"/>
        </w:numPr>
        <w:ind w:left="0"/>
        <w:rPr>
          <w:rFonts w:ascii="Arial" w:eastAsia="新細明體" w:hAnsi="Arial" w:cs="Arial"/>
          <w:kern w:val="0"/>
          <w:sz w:val="14"/>
          <w:szCs w:val="14"/>
        </w:rPr>
      </w:pPr>
      <w:r w:rsidRPr="00D05D65">
        <w:rPr>
          <w:rFonts w:ascii="Arial" w:eastAsia="新細明體" w:hAnsi="Arial" w:cs="Arial"/>
          <w:b/>
          <w:bCs/>
          <w:kern w:val="0"/>
          <w:sz w:val="14"/>
        </w:rPr>
        <w:t>U.S. National Archives, Record Group 126:</w:t>
      </w:r>
      <w:r w:rsidRPr="00D05D65">
        <w:rPr>
          <w:rFonts w:ascii="Arial" w:eastAsia="新細明體" w:hAnsi="Arial" w:cs="Arial"/>
          <w:kern w:val="0"/>
          <w:sz w:val="14"/>
        </w:rPr>
        <w:t xml:space="preserve"> </w:t>
      </w:r>
      <w:r w:rsidRPr="00D05D65">
        <w:rPr>
          <w:rFonts w:ascii="Arial" w:eastAsia="新細明體" w:hAnsi="Arial" w:cs="Arial"/>
          <w:i/>
          <w:iCs/>
          <w:kern w:val="0"/>
          <w:sz w:val="14"/>
        </w:rPr>
        <w:t>Records of the Office of Territories, 1881–1977</w:t>
      </w:r>
      <w:r w:rsidRPr="00D05D65">
        <w:rPr>
          <w:rFonts w:ascii="Arial" w:eastAsia="新細明體" w:hAnsi="Arial" w:cs="Arial"/>
          <w:kern w:val="0"/>
          <w:sz w:val="14"/>
        </w:rPr>
        <w:t>.</w:t>
      </w:r>
    </w:p>
    <w:p w:rsidR="00D05D65" w:rsidRPr="00D05D65" w:rsidRDefault="00D05D65" w:rsidP="00D05D65">
      <w:pPr>
        <w:widowControl/>
        <w:numPr>
          <w:ilvl w:val="1"/>
          <w:numId w:val="5"/>
        </w:numPr>
        <w:ind w:left="0"/>
        <w:rPr>
          <w:rFonts w:ascii="Arial" w:eastAsia="新細明體" w:hAnsi="Arial" w:cs="Arial"/>
          <w:kern w:val="0"/>
          <w:sz w:val="14"/>
          <w:szCs w:val="14"/>
        </w:rPr>
      </w:pPr>
      <w:r w:rsidRPr="00D05D65">
        <w:rPr>
          <w:rFonts w:ascii="Arial" w:eastAsia="新細明體" w:hAnsi="Arial" w:cs="Arial"/>
          <w:i/>
          <w:iCs/>
          <w:kern w:val="0"/>
          <w:sz w:val="14"/>
        </w:rPr>
        <w:t>Scope</w:t>
      </w:r>
      <w:r w:rsidRPr="00D05D65">
        <w:rPr>
          <w:rFonts w:ascii="Arial" w:eastAsia="新細明體" w:hAnsi="Arial" w:cs="Arial"/>
          <w:kern w:val="0"/>
          <w:sz w:val="14"/>
        </w:rPr>
        <w:t>: Documents the shift under FDR's Executive Order 6726 and the 1950 creation of the Office of Territories.</w:t>
      </w:r>
      <w:r w:rsidRPr="00D05D65">
        <w:rPr>
          <w:rFonts w:ascii="Arial" w:eastAsia="新細明體" w:hAnsi="Arial" w:cs="Arial"/>
          <w:kern w:val="0"/>
          <w:sz w:val="14"/>
          <w:szCs w:val="14"/>
        </w:rPr>
        <w:t xml:space="preserve"> [</w:t>
      </w:r>
      <w:hyperlink r:id="rId31" w:history="1">
        <w:r w:rsidRPr="00D05D65">
          <w:rPr>
            <w:rFonts w:ascii="Arial" w:eastAsia="新細明體" w:hAnsi="Arial" w:cs="Arial"/>
            <w:color w:val="0000FF"/>
            <w:kern w:val="0"/>
            <w:sz w:val="14"/>
            <w:u w:val="single"/>
          </w:rPr>
          <w:t>1</w:t>
        </w:r>
      </w:hyperlink>
      <w:r w:rsidRPr="00D05D65">
        <w:rPr>
          <w:rFonts w:ascii="Arial" w:eastAsia="新細明體" w:hAnsi="Arial" w:cs="Arial"/>
          <w:kern w:val="0"/>
          <w:sz w:val="14"/>
          <w:szCs w:val="14"/>
        </w:rPr>
        <w:t xml:space="preserve">, </w:t>
      </w:r>
      <w:hyperlink r:id="rId32" w:history="1">
        <w:r w:rsidRPr="00D05D65">
          <w:rPr>
            <w:rFonts w:ascii="Arial" w:eastAsia="新細明體" w:hAnsi="Arial" w:cs="Arial"/>
            <w:color w:val="0000FF"/>
            <w:kern w:val="0"/>
            <w:sz w:val="14"/>
            <w:u w:val="single"/>
          </w:rPr>
          <w:t>2</w:t>
        </w:r>
      </w:hyperlink>
      <w:r w:rsidRPr="00D05D65">
        <w:rPr>
          <w:rFonts w:ascii="Arial" w:eastAsia="新細明體" w:hAnsi="Arial" w:cs="Arial"/>
          <w:kern w:val="0"/>
          <w:sz w:val="14"/>
          <w:szCs w:val="14"/>
        </w:rPr>
        <w:t xml:space="preserve">, </w:t>
      </w:r>
      <w:hyperlink r:id="rId33" w:history="1">
        <w:r w:rsidRPr="00D05D65">
          <w:rPr>
            <w:rFonts w:ascii="Arial" w:eastAsia="新細明體" w:hAnsi="Arial" w:cs="Arial"/>
            <w:color w:val="0000FF"/>
            <w:kern w:val="0"/>
            <w:sz w:val="14"/>
            <w:u w:val="single"/>
          </w:rPr>
          <w:t>3</w:t>
        </w:r>
      </w:hyperlink>
      <w:r w:rsidRPr="00D05D65">
        <w:rPr>
          <w:rFonts w:ascii="Arial" w:eastAsia="新細明體" w:hAnsi="Arial" w:cs="Arial"/>
          <w:kern w:val="0"/>
          <w:sz w:val="14"/>
          <w:szCs w:val="14"/>
        </w:rPr>
        <w:t xml:space="preserve">, </w:t>
      </w:r>
      <w:hyperlink r:id="rId34" w:history="1">
        <w:r w:rsidRPr="00D05D65">
          <w:rPr>
            <w:rFonts w:ascii="Arial" w:eastAsia="新細明體" w:hAnsi="Arial" w:cs="Arial"/>
            <w:color w:val="0000FF"/>
            <w:kern w:val="0"/>
            <w:sz w:val="14"/>
            <w:u w:val="single"/>
          </w:rPr>
          <w:t>4</w:t>
        </w:r>
      </w:hyperlink>
      <w:r w:rsidRPr="00D05D65">
        <w:rPr>
          <w:rFonts w:ascii="Arial" w:eastAsia="新細明體" w:hAnsi="Arial" w:cs="Arial"/>
          <w:kern w:val="0"/>
          <w:sz w:val="14"/>
          <w:szCs w:val="14"/>
        </w:rPr>
        <w:t xml:space="preserve">, </w:t>
      </w:r>
      <w:hyperlink r:id="rId35" w:history="1">
        <w:r w:rsidRPr="00D05D65">
          <w:rPr>
            <w:rFonts w:ascii="Arial" w:eastAsia="新細明體" w:hAnsi="Arial" w:cs="Arial"/>
            <w:color w:val="0000FF"/>
            <w:kern w:val="0"/>
            <w:sz w:val="14"/>
            <w:u w:val="single"/>
          </w:rPr>
          <w:t>5</w:t>
        </w:r>
      </w:hyperlink>
      <w:r w:rsidRPr="00D05D65">
        <w:rPr>
          <w:rFonts w:ascii="Arial" w:eastAsia="新細明體" w:hAnsi="Arial" w:cs="Arial"/>
          <w:kern w:val="0"/>
          <w:sz w:val="14"/>
          <w:szCs w:val="14"/>
        </w:rPr>
        <w:t>]</w:t>
      </w:r>
    </w:p>
    <w:p w:rsidR="00D05D65" w:rsidRPr="00D05D65" w:rsidRDefault="00D05D65" w:rsidP="00D05D65">
      <w:pPr>
        <w:widowControl/>
        <w:numPr>
          <w:ilvl w:val="0"/>
          <w:numId w:val="5"/>
        </w:numPr>
        <w:ind w:left="0"/>
        <w:rPr>
          <w:rFonts w:ascii="Arial" w:eastAsia="新細明體" w:hAnsi="Arial" w:cs="Arial"/>
          <w:kern w:val="0"/>
          <w:sz w:val="14"/>
          <w:szCs w:val="14"/>
        </w:rPr>
      </w:pPr>
      <w:r w:rsidRPr="00D05D65">
        <w:rPr>
          <w:rFonts w:ascii="Arial" w:eastAsia="新細明體" w:hAnsi="Arial" w:cs="Arial"/>
          <w:b/>
          <w:bCs/>
          <w:kern w:val="0"/>
          <w:sz w:val="14"/>
        </w:rPr>
        <w:t>U.S. National Archives, Record Group 48:</w:t>
      </w:r>
      <w:r w:rsidRPr="00D05D65">
        <w:rPr>
          <w:rFonts w:ascii="Arial" w:eastAsia="新細明體" w:hAnsi="Arial" w:cs="Arial"/>
          <w:kern w:val="0"/>
          <w:sz w:val="14"/>
        </w:rPr>
        <w:t xml:space="preserve"> </w:t>
      </w:r>
      <w:r w:rsidRPr="00D05D65">
        <w:rPr>
          <w:rFonts w:ascii="Arial" w:eastAsia="新細明體" w:hAnsi="Arial" w:cs="Arial"/>
          <w:i/>
          <w:iCs/>
          <w:kern w:val="0"/>
          <w:sz w:val="14"/>
        </w:rPr>
        <w:t>Records of the Office of the Secretary of the Interior</w:t>
      </w:r>
      <w:r w:rsidRPr="00D05D65">
        <w:rPr>
          <w:rFonts w:ascii="Arial" w:eastAsia="新細明體" w:hAnsi="Arial" w:cs="Arial"/>
          <w:kern w:val="0"/>
          <w:sz w:val="14"/>
        </w:rPr>
        <w:t>.</w:t>
      </w:r>
    </w:p>
    <w:p w:rsidR="00D05D65" w:rsidRPr="00D05D65" w:rsidRDefault="00D05D65" w:rsidP="00D05D65">
      <w:pPr>
        <w:widowControl/>
        <w:numPr>
          <w:ilvl w:val="1"/>
          <w:numId w:val="5"/>
        </w:numPr>
        <w:ind w:left="0"/>
        <w:rPr>
          <w:rFonts w:ascii="Arial" w:eastAsia="新細明體" w:hAnsi="Arial" w:cs="Arial"/>
          <w:kern w:val="0"/>
          <w:sz w:val="14"/>
          <w:szCs w:val="14"/>
        </w:rPr>
      </w:pPr>
      <w:r w:rsidRPr="00D05D65">
        <w:rPr>
          <w:rFonts w:ascii="Arial" w:eastAsia="新細明體" w:hAnsi="Arial" w:cs="Arial"/>
          <w:i/>
          <w:iCs/>
          <w:kern w:val="0"/>
          <w:sz w:val="14"/>
        </w:rPr>
        <w:t>Scope</w:t>
      </w:r>
      <w:r w:rsidRPr="00D05D65">
        <w:rPr>
          <w:rFonts w:ascii="Arial" w:eastAsia="新細明體" w:hAnsi="Arial" w:cs="Arial"/>
          <w:kern w:val="0"/>
          <w:sz w:val="14"/>
        </w:rPr>
        <w:t>: Essential for reviewing the 1970s structural transitions that eventually culminated in the 1995 establishment of the modern OIA.</w:t>
      </w:r>
      <w:r w:rsidRPr="00D05D65">
        <w:rPr>
          <w:rFonts w:ascii="Arial" w:eastAsia="新細明體" w:hAnsi="Arial" w:cs="Arial"/>
          <w:kern w:val="0"/>
          <w:sz w:val="14"/>
          <w:szCs w:val="14"/>
        </w:rPr>
        <w:t xml:space="preserve"> [</w:t>
      </w:r>
      <w:hyperlink r:id="rId36" w:history="1">
        <w:r w:rsidRPr="00D05D65">
          <w:rPr>
            <w:rFonts w:ascii="Arial" w:eastAsia="新細明體" w:hAnsi="Arial" w:cs="Arial"/>
            <w:color w:val="0000FF"/>
            <w:kern w:val="0"/>
            <w:sz w:val="14"/>
            <w:u w:val="single"/>
          </w:rPr>
          <w:t>1</w:t>
        </w:r>
      </w:hyperlink>
      <w:r w:rsidRPr="00D05D65">
        <w:rPr>
          <w:rFonts w:ascii="Arial" w:eastAsia="新細明體" w:hAnsi="Arial" w:cs="Arial"/>
          <w:kern w:val="0"/>
          <w:sz w:val="14"/>
          <w:szCs w:val="14"/>
        </w:rPr>
        <w:t xml:space="preserve">, </w:t>
      </w:r>
      <w:hyperlink r:id="rId37" w:history="1">
        <w:r w:rsidRPr="00D05D65">
          <w:rPr>
            <w:rFonts w:ascii="Arial" w:eastAsia="新細明體" w:hAnsi="Arial" w:cs="Arial"/>
            <w:color w:val="0000FF"/>
            <w:kern w:val="0"/>
            <w:sz w:val="14"/>
            <w:u w:val="single"/>
          </w:rPr>
          <w:t>2</w:t>
        </w:r>
      </w:hyperlink>
      <w:r w:rsidRPr="00D05D65">
        <w:rPr>
          <w:rFonts w:ascii="Arial" w:eastAsia="新細明體" w:hAnsi="Arial" w:cs="Arial"/>
          <w:kern w:val="0"/>
          <w:sz w:val="14"/>
          <w:szCs w:val="14"/>
        </w:rPr>
        <w:t>]</w:t>
      </w:r>
    </w:p>
    <w:p w:rsidR="00D05D65" w:rsidRPr="00D05D65" w:rsidRDefault="00D05D65" w:rsidP="00D05D65">
      <w:pPr>
        <w:widowControl/>
        <w:rPr>
          <w:rFonts w:ascii="Arial" w:eastAsia="新細明體" w:hAnsi="Arial" w:cs="Arial"/>
          <w:b/>
          <w:bCs/>
          <w:kern w:val="0"/>
          <w:sz w:val="18"/>
          <w:szCs w:val="18"/>
        </w:rPr>
      </w:pPr>
      <w:r w:rsidRPr="00D05D65">
        <w:rPr>
          <w:rFonts w:ascii="Arial" w:eastAsia="新細明體" w:hAnsi="Arial" w:cs="Arial"/>
          <w:b/>
          <w:bCs/>
          <w:kern w:val="0"/>
          <w:sz w:val="18"/>
          <w:szCs w:val="18"/>
        </w:rPr>
        <w:t>4. Historical Government Reports</w:t>
      </w:r>
    </w:p>
    <w:p w:rsidR="00D05D65" w:rsidRPr="00D05D65" w:rsidRDefault="00D05D65" w:rsidP="00D05D65">
      <w:pPr>
        <w:widowControl/>
        <w:numPr>
          <w:ilvl w:val="0"/>
          <w:numId w:val="6"/>
        </w:numPr>
        <w:ind w:left="0"/>
        <w:rPr>
          <w:rFonts w:ascii="Arial" w:eastAsia="新細明體" w:hAnsi="Arial" w:cs="Arial"/>
          <w:kern w:val="0"/>
          <w:sz w:val="14"/>
          <w:szCs w:val="14"/>
        </w:rPr>
      </w:pPr>
      <w:r w:rsidRPr="00D05D65">
        <w:rPr>
          <w:rFonts w:ascii="Arial" w:eastAsia="新細明體" w:hAnsi="Arial" w:cs="Arial"/>
          <w:b/>
          <w:bCs/>
          <w:kern w:val="0"/>
          <w:sz w:val="14"/>
        </w:rPr>
        <w:t>United States. Bureau of Insular Affairs.</w:t>
      </w:r>
      <w:r w:rsidRPr="00D05D65">
        <w:rPr>
          <w:rFonts w:ascii="Arial" w:eastAsia="新細明體" w:hAnsi="Arial" w:cs="Arial"/>
          <w:kern w:val="0"/>
          <w:sz w:val="14"/>
        </w:rPr>
        <w:t xml:space="preserve"> </w:t>
      </w:r>
      <w:r w:rsidRPr="00D05D65">
        <w:rPr>
          <w:rFonts w:ascii="Arial" w:eastAsia="新細明體" w:hAnsi="Arial" w:cs="Arial"/>
          <w:i/>
          <w:iCs/>
          <w:kern w:val="0"/>
          <w:sz w:val="14"/>
        </w:rPr>
        <w:t>Report of the Chief of the Bureau of Insular Affairs to the Secretary of War</w:t>
      </w:r>
      <w:r w:rsidRPr="00D05D65">
        <w:rPr>
          <w:rFonts w:ascii="Arial" w:eastAsia="新細明體" w:hAnsi="Arial" w:cs="Arial"/>
          <w:kern w:val="0"/>
          <w:sz w:val="14"/>
        </w:rPr>
        <w:t>. Washington: Government Printing Office.</w:t>
      </w:r>
    </w:p>
    <w:p w:rsidR="00D05D65" w:rsidRPr="00D05D65" w:rsidRDefault="00D05D65" w:rsidP="00D05D65">
      <w:pPr>
        <w:widowControl/>
        <w:numPr>
          <w:ilvl w:val="1"/>
          <w:numId w:val="6"/>
        </w:numPr>
        <w:ind w:left="0"/>
        <w:rPr>
          <w:rFonts w:ascii="Arial" w:eastAsia="新細明體" w:hAnsi="Arial" w:cs="Arial"/>
          <w:kern w:val="0"/>
          <w:sz w:val="14"/>
          <w:szCs w:val="14"/>
        </w:rPr>
      </w:pPr>
      <w:r w:rsidRPr="00D05D65">
        <w:rPr>
          <w:rFonts w:ascii="Arial" w:eastAsia="新細明體" w:hAnsi="Arial" w:cs="Arial"/>
          <w:i/>
          <w:iCs/>
          <w:kern w:val="0"/>
          <w:sz w:val="14"/>
        </w:rPr>
        <w:t>Availability</w:t>
      </w:r>
      <w:r w:rsidRPr="00D05D65">
        <w:rPr>
          <w:rFonts w:ascii="Arial" w:eastAsia="新細明體" w:hAnsi="Arial" w:cs="Arial"/>
          <w:kern w:val="0"/>
          <w:sz w:val="14"/>
        </w:rPr>
        <w:t>: Annual publications spanning 1902 to 1938, detailing budget management, health, public works, and customs receiverships in the Philippines, Puerto Rico, and the Dominican Republic.</w:t>
      </w:r>
      <w:r w:rsidRPr="00D05D65">
        <w:rPr>
          <w:rFonts w:ascii="Arial" w:eastAsia="新細明體" w:hAnsi="Arial" w:cs="Arial"/>
          <w:kern w:val="0"/>
          <w:sz w:val="14"/>
          <w:szCs w:val="14"/>
        </w:rPr>
        <w:t xml:space="preserve"> [</w:t>
      </w:r>
      <w:hyperlink r:id="rId38" w:history="1">
        <w:r w:rsidRPr="00D05D65">
          <w:rPr>
            <w:rFonts w:ascii="Arial" w:eastAsia="新細明體" w:hAnsi="Arial" w:cs="Arial"/>
            <w:color w:val="0000FF"/>
            <w:kern w:val="0"/>
            <w:sz w:val="14"/>
            <w:u w:val="single"/>
          </w:rPr>
          <w:t>1</w:t>
        </w:r>
      </w:hyperlink>
      <w:r w:rsidRPr="00D05D65">
        <w:rPr>
          <w:rFonts w:ascii="Arial" w:eastAsia="新細明體" w:hAnsi="Arial" w:cs="Arial"/>
          <w:kern w:val="0"/>
          <w:sz w:val="14"/>
          <w:szCs w:val="14"/>
        </w:rPr>
        <w:t xml:space="preserve">, </w:t>
      </w:r>
      <w:hyperlink r:id="rId39" w:history="1">
        <w:r w:rsidRPr="00D05D65">
          <w:rPr>
            <w:rFonts w:ascii="Arial" w:eastAsia="新細明體" w:hAnsi="Arial" w:cs="Arial"/>
            <w:color w:val="0000FF"/>
            <w:kern w:val="0"/>
            <w:sz w:val="14"/>
            <w:u w:val="single"/>
          </w:rPr>
          <w:t>2</w:t>
        </w:r>
      </w:hyperlink>
      <w:r w:rsidRPr="00D05D65">
        <w:rPr>
          <w:rFonts w:ascii="Arial" w:eastAsia="新細明體" w:hAnsi="Arial" w:cs="Arial"/>
          <w:kern w:val="0"/>
          <w:sz w:val="14"/>
          <w:szCs w:val="14"/>
        </w:rPr>
        <w:t xml:space="preserve">, </w:t>
      </w:r>
      <w:hyperlink r:id="rId40" w:history="1">
        <w:r w:rsidRPr="00D05D65">
          <w:rPr>
            <w:rFonts w:ascii="Arial" w:eastAsia="新細明體" w:hAnsi="Arial" w:cs="Arial"/>
            <w:color w:val="0000FF"/>
            <w:kern w:val="0"/>
            <w:sz w:val="14"/>
            <w:u w:val="single"/>
          </w:rPr>
          <w:t>3</w:t>
        </w:r>
      </w:hyperlink>
      <w:r w:rsidRPr="00D05D65">
        <w:rPr>
          <w:rFonts w:ascii="Arial" w:eastAsia="新細明體" w:hAnsi="Arial" w:cs="Arial"/>
          <w:kern w:val="0"/>
          <w:sz w:val="14"/>
          <w:szCs w:val="14"/>
        </w:rPr>
        <w:t xml:space="preserve">, </w:t>
      </w:r>
      <w:hyperlink r:id="rId41" w:history="1">
        <w:r w:rsidRPr="00D05D65">
          <w:rPr>
            <w:rFonts w:ascii="Arial" w:eastAsia="新細明體" w:hAnsi="Arial" w:cs="Arial"/>
            <w:color w:val="0000FF"/>
            <w:kern w:val="0"/>
            <w:sz w:val="14"/>
            <w:u w:val="single"/>
          </w:rPr>
          <w:t>4</w:t>
        </w:r>
      </w:hyperlink>
      <w:r w:rsidRPr="00D05D65">
        <w:rPr>
          <w:rFonts w:ascii="Arial" w:eastAsia="新細明體" w:hAnsi="Arial" w:cs="Arial"/>
          <w:kern w:val="0"/>
          <w:sz w:val="14"/>
          <w:szCs w:val="14"/>
        </w:rPr>
        <w:t>]</w:t>
      </w:r>
    </w:p>
    <w:p w:rsidR="00D05D65" w:rsidRDefault="00D05D65">
      <w:pPr>
        <w:rPr>
          <w:rFonts w:hint="eastAsia"/>
        </w:rPr>
      </w:pPr>
    </w:p>
    <w:p w:rsidR="003658DD" w:rsidRDefault="003658DD"/>
    <w:sectPr w:rsidR="003658DD" w:rsidSect="00D05D65">
      <w:pgSz w:w="11906" w:h="16838"/>
      <w:pgMar w:top="1440" w:right="1800" w:bottom="1440" w:left="2268" w:header="851" w:footer="992" w:gutter="0"/>
      <w:cols w:space="425"/>
      <w:docGrid w:type="lines"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F20C70"/>
    <w:multiLevelType w:val="multilevel"/>
    <w:tmpl w:val="9CB8B4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1892D47"/>
    <w:multiLevelType w:val="multilevel"/>
    <w:tmpl w:val="93BC2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FAE00AD"/>
    <w:multiLevelType w:val="multilevel"/>
    <w:tmpl w:val="1D5470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9DB6F5F"/>
    <w:multiLevelType w:val="multilevel"/>
    <w:tmpl w:val="C838B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E5D6E5F"/>
    <w:multiLevelType w:val="multilevel"/>
    <w:tmpl w:val="08ECA5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CEB0812"/>
    <w:multiLevelType w:val="multilevel"/>
    <w:tmpl w:val="8DEE67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2"/>
  </w:num>
  <w:num w:numId="4">
    <w:abstractNumId w:val="4"/>
  </w:num>
  <w:num w:numId="5">
    <w:abstractNumId w:val="5"/>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6"/>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D05D65"/>
    <w:rsid w:val="00104DC9"/>
    <w:rsid w:val="00130917"/>
    <w:rsid w:val="001E5A75"/>
    <w:rsid w:val="002F149C"/>
    <w:rsid w:val="003658DD"/>
    <w:rsid w:val="003F1C2B"/>
    <w:rsid w:val="00540753"/>
    <w:rsid w:val="00676EA0"/>
    <w:rsid w:val="00882314"/>
    <w:rsid w:val="00892D85"/>
    <w:rsid w:val="00895196"/>
    <w:rsid w:val="00A31558"/>
    <w:rsid w:val="00B410AD"/>
    <w:rsid w:val="00D05D65"/>
    <w:rsid w:val="00D73651"/>
    <w:rsid w:val="00F82B62"/>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10AD"/>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D05D65"/>
    <w:rPr>
      <w:color w:val="0000FF"/>
      <w:u w:val="single"/>
    </w:rPr>
  </w:style>
  <w:style w:type="character" w:styleId="a4">
    <w:name w:val="Strong"/>
    <w:basedOn w:val="a0"/>
    <w:uiPriority w:val="22"/>
    <w:qFormat/>
    <w:rsid w:val="00D05D65"/>
    <w:rPr>
      <w:b/>
      <w:bCs/>
    </w:rPr>
  </w:style>
  <w:style w:type="character" w:customStyle="1" w:styleId="inqyif">
    <w:name w:val="inqyif"/>
    <w:basedOn w:val="a0"/>
    <w:rsid w:val="00D05D65"/>
  </w:style>
  <w:style w:type="character" w:styleId="a5">
    <w:name w:val="Emphasis"/>
    <w:basedOn w:val="a0"/>
    <w:uiPriority w:val="20"/>
    <w:qFormat/>
    <w:rsid w:val="00D05D65"/>
    <w:rPr>
      <w:i/>
      <w:iCs/>
    </w:rPr>
  </w:style>
</w:styles>
</file>

<file path=word/webSettings.xml><?xml version="1.0" encoding="utf-8"?>
<w:webSettings xmlns:r="http://schemas.openxmlformats.org/officeDocument/2006/relationships" xmlns:w="http://schemas.openxmlformats.org/wordprocessingml/2006/main">
  <w:divs>
    <w:div w:id="1464931192">
      <w:bodyDiv w:val="1"/>
      <w:marLeft w:val="0"/>
      <w:marRight w:val="0"/>
      <w:marTop w:val="0"/>
      <w:marBottom w:val="0"/>
      <w:divBdr>
        <w:top w:val="none" w:sz="0" w:space="0" w:color="auto"/>
        <w:left w:val="none" w:sz="0" w:space="0" w:color="auto"/>
        <w:bottom w:val="none" w:sz="0" w:space="0" w:color="auto"/>
        <w:right w:val="none" w:sz="0" w:space="0" w:color="auto"/>
      </w:divBdr>
      <w:divsChild>
        <w:div w:id="1443189384">
          <w:marLeft w:val="0"/>
          <w:marRight w:val="0"/>
          <w:marTop w:val="106"/>
          <w:marBottom w:val="141"/>
          <w:divBdr>
            <w:top w:val="none" w:sz="0" w:space="0" w:color="auto"/>
            <w:left w:val="none" w:sz="0" w:space="0" w:color="auto"/>
            <w:bottom w:val="none" w:sz="0" w:space="0" w:color="auto"/>
            <w:right w:val="none" w:sz="0" w:space="0" w:color="auto"/>
          </w:divBdr>
        </w:div>
        <w:div w:id="1052465542">
          <w:marLeft w:val="0"/>
          <w:marRight w:val="0"/>
          <w:marTop w:val="106"/>
          <w:marBottom w:val="141"/>
          <w:divBdr>
            <w:top w:val="none" w:sz="0" w:space="0" w:color="auto"/>
            <w:left w:val="none" w:sz="0" w:space="0" w:color="auto"/>
            <w:bottom w:val="none" w:sz="0" w:space="0" w:color="auto"/>
            <w:right w:val="none" w:sz="0" w:space="0" w:color="auto"/>
          </w:divBdr>
        </w:div>
        <w:div w:id="390009146">
          <w:marLeft w:val="0"/>
          <w:marRight w:val="0"/>
          <w:marTop w:val="212"/>
          <w:marBottom w:val="106"/>
          <w:divBdr>
            <w:top w:val="none" w:sz="0" w:space="0" w:color="auto"/>
            <w:left w:val="none" w:sz="0" w:space="0" w:color="auto"/>
            <w:bottom w:val="none" w:sz="0" w:space="0" w:color="auto"/>
            <w:right w:val="none" w:sz="0" w:space="0" w:color="auto"/>
          </w:divBdr>
        </w:div>
        <w:div w:id="1624995330">
          <w:marLeft w:val="0"/>
          <w:marRight w:val="0"/>
          <w:marTop w:val="106"/>
          <w:marBottom w:val="141"/>
          <w:divBdr>
            <w:top w:val="none" w:sz="0" w:space="0" w:color="auto"/>
            <w:left w:val="none" w:sz="0" w:space="0" w:color="auto"/>
            <w:bottom w:val="none" w:sz="0" w:space="0" w:color="auto"/>
            <w:right w:val="none" w:sz="0" w:space="0" w:color="auto"/>
          </w:divBdr>
        </w:div>
        <w:div w:id="173495897">
          <w:marLeft w:val="0"/>
          <w:marRight w:val="0"/>
          <w:marTop w:val="212"/>
          <w:marBottom w:val="106"/>
          <w:divBdr>
            <w:top w:val="none" w:sz="0" w:space="0" w:color="auto"/>
            <w:left w:val="none" w:sz="0" w:space="0" w:color="auto"/>
            <w:bottom w:val="none" w:sz="0" w:space="0" w:color="auto"/>
            <w:right w:val="none" w:sz="0" w:space="0" w:color="auto"/>
          </w:divBdr>
        </w:div>
        <w:div w:id="971600376">
          <w:marLeft w:val="0"/>
          <w:marRight w:val="0"/>
          <w:marTop w:val="106"/>
          <w:marBottom w:val="141"/>
          <w:divBdr>
            <w:top w:val="none" w:sz="0" w:space="0" w:color="auto"/>
            <w:left w:val="none" w:sz="0" w:space="0" w:color="auto"/>
            <w:bottom w:val="none" w:sz="0" w:space="0" w:color="auto"/>
            <w:right w:val="none" w:sz="0" w:space="0" w:color="auto"/>
          </w:divBdr>
        </w:div>
        <w:div w:id="1069040356">
          <w:marLeft w:val="0"/>
          <w:marRight w:val="0"/>
          <w:marTop w:val="212"/>
          <w:marBottom w:val="106"/>
          <w:divBdr>
            <w:top w:val="none" w:sz="0" w:space="0" w:color="auto"/>
            <w:left w:val="none" w:sz="0" w:space="0" w:color="auto"/>
            <w:bottom w:val="none" w:sz="0" w:space="0" w:color="auto"/>
            <w:right w:val="none" w:sz="0" w:space="0" w:color="auto"/>
          </w:divBdr>
        </w:div>
        <w:div w:id="1182620061">
          <w:marLeft w:val="0"/>
          <w:marRight w:val="0"/>
          <w:marTop w:val="106"/>
          <w:marBottom w:val="141"/>
          <w:divBdr>
            <w:top w:val="none" w:sz="0" w:space="0" w:color="auto"/>
            <w:left w:val="none" w:sz="0" w:space="0" w:color="auto"/>
            <w:bottom w:val="none" w:sz="0" w:space="0" w:color="auto"/>
            <w:right w:val="none" w:sz="0" w:space="0" w:color="auto"/>
          </w:divBdr>
        </w:div>
        <w:div w:id="2070495046">
          <w:marLeft w:val="0"/>
          <w:marRight w:val="0"/>
          <w:marTop w:val="212"/>
          <w:marBottom w:val="106"/>
          <w:divBdr>
            <w:top w:val="none" w:sz="0" w:space="0" w:color="auto"/>
            <w:left w:val="none" w:sz="0" w:space="0" w:color="auto"/>
            <w:bottom w:val="none" w:sz="0" w:space="0" w:color="auto"/>
            <w:right w:val="none" w:sz="0" w:space="0" w:color="auto"/>
          </w:divBdr>
        </w:div>
      </w:divsChild>
    </w:div>
    <w:div w:id="1591507595">
      <w:bodyDiv w:val="1"/>
      <w:marLeft w:val="0"/>
      <w:marRight w:val="0"/>
      <w:marTop w:val="0"/>
      <w:marBottom w:val="0"/>
      <w:divBdr>
        <w:top w:val="none" w:sz="0" w:space="0" w:color="auto"/>
        <w:left w:val="none" w:sz="0" w:space="0" w:color="auto"/>
        <w:bottom w:val="none" w:sz="0" w:space="0" w:color="auto"/>
        <w:right w:val="none" w:sz="0" w:space="0" w:color="auto"/>
      </w:divBdr>
      <w:divsChild>
        <w:div w:id="2091852076">
          <w:marLeft w:val="0"/>
          <w:marRight w:val="0"/>
          <w:marTop w:val="0"/>
          <w:marBottom w:val="141"/>
          <w:divBdr>
            <w:top w:val="none" w:sz="0" w:space="0" w:color="auto"/>
            <w:left w:val="none" w:sz="0" w:space="0" w:color="auto"/>
            <w:bottom w:val="none" w:sz="0" w:space="0" w:color="auto"/>
            <w:right w:val="none" w:sz="0" w:space="0" w:color="auto"/>
          </w:divBdr>
        </w:div>
        <w:div w:id="888298675">
          <w:marLeft w:val="0"/>
          <w:marRight w:val="0"/>
          <w:marTop w:val="212"/>
          <w:marBottom w:val="106"/>
          <w:divBdr>
            <w:top w:val="none" w:sz="0" w:space="0" w:color="auto"/>
            <w:left w:val="none" w:sz="0" w:space="0" w:color="auto"/>
            <w:bottom w:val="none" w:sz="0" w:space="0" w:color="auto"/>
            <w:right w:val="none" w:sz="0" w:space="0" w:color="auto"/>
          </w:divBdr>
        </w:div>
        <w:div w:id="632754279">
          <w:marLeft w:val="0"/>
          <w:marRight w:val="0"/>
          <w:marTop w:val="0"/>
          <w:marBottom w:val="0"/>
          <w:divBdr>
            <w:top w:val="none" w:sz="0" w:space="0" w:color="auto"/>
            <w:left w:val="none" w:sz="0" w:space="0" w:color="auto"/>
            <w:bottom w:val="none" w:sz="0" w:space="0" w:color="auto"/>
            <w:right w:val="none" w:sz="0" w:space="0" w:color="auto"/>
          </w:divBdr>
          <w:divsChild>
            <w:div w:id="1755083465">
              <w:marLeft w:val="0"/>
              <w:marRight w:val="0"/>
              <w:marTop w:val="106"/>
              <w:marBottom w:val="141"/>
              <w:divBdr>
                <w:top w:val="none" w:sz="0" w:space="0" w:color="auto"/>
                <w:left w:val="none" w:sz="0" w:space="0" w:color="auto"/>
                <w:bottom w:val="none" w:sz="0" w:space="0" w:color="auto"/>
                <w:right w:val="none" w:sz="0" w:space="0" w:color="auto"/>
              </w:divBdr>
            </w:div>
          </w:divsChild>
        </w:div>
        <w:div w:id="852498632">
          <w:marLeft w:val="0"/>
          <w:marRight w:val="0"/>
          <w:marTop w:val="0"/>
          <w:marBottom w:val="0"/>
          <w:divBdr>
            <w:top w:val="none" w:sz="0" w:space="0" w:color="auto"/>
            <w:left w:val="none" w:sz="0" w:space="0" w:color="auto"/>
            <w:bottom w:val="none" w:sz="0" w:space="0" w:color="auto"/>
            <w:right w:val="none" w:sz="0" w:space="0" w:color="auto"/>
          </w:divBdr>
          <w:divsChild>
            <w:div w:id="1450314424">
              <w:marLeft w:val="0"/>
              <w:marRight w:val="0"/>
              <w:marTop w:val="212"/>
              <w:marBottom w:val="106"/>
              <w:divBdr>
                <w:top w:val="none" w:sz="0" w:space="0" w:color="auto"/>
                <w:left w:val="none" w:sz="0" w:space="0" w:color="auto"/>
                <w:bottom w:val="none" w:sz="0" w:space="0" w:color="auto"/>
                <w:right w:val="none" w:sz="0" w:space="0" w:color="auto"/>
              </w:divBdr>
            </w:div>
          </w:divsChild>
        </w:div>
        <w:div w:id="1706825752">
          <w:marLeft w:val="0"/>
          <w:marRight w:val="0"/>
          <w:marTop w:val="0"/>
          <w:marBottom w:val="0"/>
          <w:divBdr>
            <w:top w:val="none" w:sz="0" w:space="0" w:color="auto"/>
            <w:left w:val="none" w:sz="0" w:space="0" w:color="auto"/>
            <w:bottom w:val="none" w:sz="0" w:space="0" w:color="auto"/>
            <w:right w:val="none" w:sz="0" w:space="0" w:color="auto"/>
          </w:divBdr>
          <w:divsChild>
            <w:div w:id="1087263869">
              <w:marLeft w:val="0"/>
              <w:marRight w:val="0"/>
              <w:marTop w:val="106"/>
              <w:marBottom w:val="141"/>
              <w:divBdr>
                <w:top w:val="none" w:sz="0" w:space="0" w:color="auto"/>
                <w:left w:val="none" w:sz="0" w:space="0" w:color="auto"/>
                <w:bottom w:val="none" w:sz="0" w:space="0" w:color="auto"/>
                <w:right w:val="none" w:sz="0" w:space="0" w:color="auto"/>
              </w:divBdr>
            </w:div>
          </w:divsChild>
        </w:div>
        <w:div w:id="709495689">
          <w:marLeft w:val="0"/>
          <w:marRight w:val="0"/>
          <w:marTop w:val="0"/>
          <w:marBottom w:val="0"/>
          <w:divBdr>
            <w:top w:val="none" w:sz="0" w:space="0" w:color="auto"/>
            <w:left w:val="none" w:sz="0" w:space="0" w:color="auto"/>
            <w:bottom w:val="none" w:sz="0" w:space="0" w:color="auto"/>
            <w:right w:val="none" w:sz="0" w:space="0" w:color="auto"/>
          </w:divBdr>
          <w:divsChild>
            <w:div w:id="1381439637">
              <w:marLeft w:val="0"/>
              <w:marRight w:val="0"/>
              <w:marTop w:val="212"/>
              <w:marBottom w:val="106"/>
              <w:divBdr>
                <w:top w:val="none" w:sz="0" w:space="0" w:color="auto"/>
                <w:left w:val="none" w:sz="0" w:space="0" w:color="auto"/>
                <w:bottom w:val="none" w:sz="0" w:space="0" w:color="auto"/>
                <w:right w:val="none" w:sz="0" w:space="0" w:color="auto"/>
              </w:divBdr>
            </w:div>
          </w:divsChild>
        </w:div>
        <w:div w:id="73430423">
          <w:marLeft w:val="0"/>
          <w:marRight w:val="0"/>
          <w:marTop w:val="0"/>
          <w:marBottom w:val="0"/>
          <w:divBdr>
            <w:top w:val="none" w:sz="0" w:space="0" w:color="auto"/>
            <w:left w:val="none" w:sz="0" w:space="0" w:color="auto"/>
            <w:bottom w:val="none" w:sz="0" w:space="0" w:color="auto"/>
            <w:right w:val="none" w:sz="0" w:space="0" w:color="auto"/>
          </w:divBdr>
          <w:divsChild>
            <w:div w:id="267322231">
              <w:marLeft w:val="0"/>
              <w:marRight w:val="0"/>
              <w:marTop w:val="106"/>
              <w:marBottom w:val="141"/>
              <w:divBdr>
                <w:top w:val="none" w:sz="0" w:space="0" w:color="auto"/>
                <w:left w:val="none" w:sz="0" w:space="0" w:color="auto"/>
                <w:bottom w:val="none" w:sz="0" w:space="0" w:color="auto"/>
                <w:right w:val="none" w:sz="0" w:space="0" w:color="auto"/>
              </w:divBdr>
            </w:div>
          </w:divsChild>
        </w:div>
        <w:div w:id="1667050695">
          <w:marLeft w:val="0"/>
          <w:marRight w:val="0"/>
          <w:marTop w:val="0"/>
          <w:marBottom w:val="0"/>
          <w:divBdr>
            <w:top w:val="none" w:sz="0" w:space="0" w:color="auto"/>
            <w:left w:val="none" w:sz="0" w:space="0" w:color="auto"/>
            <w:bottom w:val="none" w:sz="0" w:space="0" w:color="auto"/>
            <w:right w:val="none" w:sz="0" w:space="0" w:color="auto"/>
          </w:divBdr>
          <w:divsChild>
            <w:div w:id="998313127">
              <w:marLeft w:val="0"/>
              <w:marRight w:val="0"/>
              <w:marTop w:val="106"/>
              <w:marBottom w:val="141"/>
              <w:divBdr>
                <w:top w:val="none" w:sz="0" w:space="0" w:color="auto"/>
                <w:left w:val="none" w:sz="0" w:space="0" w:color="auto"/>
                <w:bottom w:val="none" w:sz="0" w:space="0" w:color="auto"/>
                <w:right w:val="none" w:sz="0" w:space="0" w:color="auto"/>
              </w:divBdr>
            </w:div>
          </w:divsChild>
        </w:div>
        <w:div w:id="902183852">
          <w:marLeft w:val="0"/>
          <w:marRight w:val="0"/>
          <w:marTop w:val="0"/>
          <w:marBottom w:val="0"/>
          <w:divBdr>
            <w:top w:val="none" w:sz="0" w:space="0" w:color="auto"/>
            <w:left w:val="none" w:sz="0" w:space="0" w:color="auto"/>
            <w:bottom w:val="none" w:sz="0" w:space="0" w:color="auto"/>
            <w:right w:val="none" w:sz="0" w:space="0" w:color="auto"/>
          </w:divBdr>
        </w:div>
        <w:div w:id="1193685578">
          <w:marLeft w:val="0"/>
          <w:marRight w:val="0"/>
          <w:marTop w:val="0"/>
          <w:marBottom w:val="0"/>
          <w:divBdr>
            <w:top w:val="none" w:sz="0" w:space="0" w:color="auto"/>
            <w:left w:val="none" w:sz="0" w:space="0" w:color="auto"/>
            <w:bottom w:val="none" w:sz="0" w:space="0" w:color="auto"/>
            <w:right w:val="none" w:sz="0" w:space="0" w:color="auto"/>
          </w:divBdr>
        </w:div>
        <w:div w:id="1777409472">
          <w:marLeft w:val="0"/>
          <w:marRight w:val="0"/>
          <w:marTop w:val="0"/>
          <w:marBottom w:val="0"/>
          <w:divBdr>
            <w:top w:val="none" w:sz="0" w:space="0" w:color="auto"/>
            <w:left w:val="none" w:sz="0" w:space="0" w:color="auto"/>
            <w:bottom w:val="none" w:sz="0" w:space="0" w:color="auto"/>
            <w:right w:val="none" w:sz="0" w:space="0" w:color="auto"/>
          </w:divBdr>
        </w:div>
        <w:div w:id="1409813838">
          <w:marLeft w:val="0"/>
          <w:marRight w:val="0"/>
          <w:marTop w:val="0"/>
          <w:marBottom w:val="0"/>
          <w:divBdr>
            <w:top w:val="none" w:sz="0" w:space="0" w:color="auto"/>
            <w:left w:val="none" w:sz="0" w:space="0" w:color="auto"/>
            <w:bottom w:val="none" w:sz="0" w:space="0" w:color="auto"/>
            <w:right w:val="none" w:sz="0" w:space="0" w:color="auto"/>
          </w:divBdr>
        </w:div>
        <w:div w:id="2119443616">
          <w:marLeft w:val="0"/>
          <w:marRight w:val="0"/>
          <w:marTop w:val="0"/>
          <w:marBottom w:val="0"/>
          <w:divBdr>
            <w:top w:val="none" w:sz="0" w:space="0" w:color="auto"/>
            <w:left w:val="none" w:sz="0" w:space="0" w:color="auto"/>
            <w:bottom w:val="none" w:sz="0" w:space="0" w:color="auto"/>
            <w:right w:val="none" w:sz="0" w:space="0" w:color="auto"/>
          </w:divBdr>
          <w:divsChild>
            <w:div w:id="2085645853">
              <w:marLeft w:val="0"/>
              <w:marRight w:val="0"/>
              <w:marTop w:val="106"/>
              <w:marBottom w:val="141"/>
              <w:divBdr>
                <w:top w:val="none" w:sz="0" w:space="0" w:color="auto"/>
                <w:left w:val="none" w:sz="0" w:space="0" w:color="auto"/>
                <w:bottom w:val="none" w:sz="0" w:space="0" w:color="auto"/>
                <w:right w:val="none" w:sz="0" w:space="0" w:color="auto"/>
              </w:divBdr>
            </w:div>
          </w:divsChild>
        </w:div>
        <w:div w:id="698160290">
          <w:marLeft w:val="0"/>
          <w:marRight w:val="0"/>
          <w:marTop w:val="0"/>
          <w:marBottom w:val="0"/>
          <w:divBdr>
            <w:top w:val="none" w:sz="0" w:space="0" w:color="auto"/>
            <w:left w:val="none" w:sz="0" w:space="0" w:color="auto"/>
            <w:bottom w:val="none" w:sz="0" w:space="0" w:color="auto"/>
            <w:right w:val="none" w:sz="0" w:space="0" w:color="auto"/>
          </w:divBdr>
        </w:div>
        <w:div w:id="564604700">
          <w:marLeft w:val="0"/>
          <w:marRight w:val="0"/>
          <w:marTop w:val="0"/>
          <w:marBottom w:val="0"/>
          <w:divBdr>
            <w:top w:val="none" w:sz="0" w:space="0" w:color="auto"/>
            <w:left w:val="none" w:sz="0" w:space="0" w:color="auto"/>
            <w:bottom w:val="none" w:sz="0" w:space="0" w:color="auto"/>
            <w:right w:val="none" w:sz="0" w:space="0" w:color="auto"/>
          </w:divBdr>
        </w:div>
        <w:div w:id="17805614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Office_of_Insular_Affairs" TargetMode="External"/><Relationship Id="rId13" Type="http://schemas.openxmlformats.org/officeDocument/2006/relationships/hyperlink" Target="https://www.doi.gov/oia/budget/authorities-public-law" TargetMode="External"/><Relationship Id="rId18" Type="http://schemas.openxmlformats.org/officeDocument/2006/relationships/hyperlink" Target="http://www.allgov.com/departments/department-of-the-interior/office-of-insular-affairs?agencyid=7253" TargetMode="External"/><Relationship Id="rId26" Type="http://schemas.openxmlformats.org/officeDocument/2006/relationships/hyperlink" Target="https://en.wikipedia.org/wiki/Bureau_of_Insular_Affairs" TargetMode="External"/><Relationship Id="rId39" Type="http://schemas.openxmlformats.org/officeDocument/2006/relationships/hyperlink" Target="https://catalog.hathitrust.org/Record/002061570" TargetMode="External"/><Relationship Id="rId3" Type="http://schemas.openxmlformats.org/officeDocument/2006/relationships/settings" Target="settings.xml"/><Relationship Id="rId21" Type="http://schemas.openxmlformats.org/officeDocument/2006/relationships/hyperlink" Target="https://legal-resources.uslegalforms.com/o/office-of-insular-affairs-o-i-a" TargetMode="External"/><Relationship Id="rId34" Type="http://schemas.openxmlformats.org/officeDocument/2006/relationships/hyperlink" Target="https://guides.library.manoa.hawaii.edu/c.php?g=105305&amp;p=685674" TargetMode="External"/><Relationship Id="rId42" Type="http://schemas.openxmlformats.org/officeDocument/2006/relationships/fontTable" Target="fontTable.xml"/><Relationship Id="rId7" Type="http://schemas.openxmlformats.org/officeDocument/2006/relationships/hyperlink" Target="https://www.archives.gov/research/guide-fed-records/groups/350.html" TargetMode="External"/><Relationship Id="rId12" Type="http://schemas.openxmlformats.org/officeDocument/2006/relationships/hyperlink" Target="https://en.wikipedia.org/wiki/Bureau_of_Insular_Affairs" TargetMode="External"/><Relationship Id="rId17" Type="http://schemas.openxmlformats.org/officeDocument/2006/relationships/hyperlink" Target="https://en.wikipedia.org/wiki/Bureau_of_Insular_Affairs" TargetMode="External"/><Relationship Id="rId25" Type="http://schemas.openxmlformats.org/officeDocument/2006/relationships/hyperlink" Target="https://en.wikipedia.org/wiki/Insular_Government_of_the_Philippine_Islands" TargetMode="External"/><Relationship Id="rId33" Type="http://schemas.openxmlformats.org/officeDocument/2006/relationships/hyperlink" Target="https://www.fdd.org/analysis/2025/03/05/examining-the-office-of-insular-affairs-role-in-fostering-prosperity-in-the-pacific-territories-and-addressing-external-threats-to-peace-and-security/" TargetMode="External"/><Relationship Id="rId38" Type="http://schemas.openxmlformats.org/officeDocument/2006/relationships/hyperlink" Target="https://www.archives.gov/research/guide-fed-records/groups/350.html" TargetMode="External"/><Relationship Id="rId2" Type="http://schemas.openxmlformats.org/officeDocument/2006/relationships/styles" Target="styles.xml"/><Relationship Id="rId16" Type="http://schemas.openxmlformats.org/officeDocument/2006/relationships/hyperlink" Target="https://www.archives.gov/research/guide-fed-records/groups/350.html" TargetMode="External"/><Relationship Id="rId20" Type="http://schemas.openxmlformats.org/officeDocument/2006/relationships/hyperlink" Target="https://guides.library.manoa.hawaii.edu/c.php?g=105305&amp;p=685674" TargetMode="External"/><Relationship Id="rId29" Type="http://schemas.openxmlformats.org/officeDocument/2006/relationships/hyperlink" Target="https://www.archives.gov/research/guide-fed-records/groups/350.html" TargetMode="External"/><Relationship Id="rId41" Type="http://schemas.openxmlformats.org/officeDocument/2006/relationships/hyperlink" Target="https://guides.library.manoa.hawaii.edu/c.php?g=105322&amp;p=686242" TargetMode="External"/><Relationship Id="rId1" Type="http://schemas.openxmlformats.org/officeDocument/2006/relationships/numbering" Target="numbering.xml"/><Relationship Id="rId6" Type="http://schemas.openxmlformats.org/officeDocument/2006/relationships/hyperlink" Target="https://www.doi.gov/" TargetMode="External"/><Relationship Id="rId11" Type="http://schemas.openxmlformats.org/officeDocument/2006/relationships/hyperlink" Target="https://www.archives.gov/research/guide-fed-records/groups/350.html" TargetMode="External"/><Relationship Id="rId24" Type="http://schemas.openxmlformats.org/officeDocument/2006/relationships/hyperlink" Target="https://en.wikipedia.org/wiki/Bureau_of_Insular_Affairs" TargetMode="External"/><Relationship Id="rId32" Type="http://schemas.openxmlformats.org/officeDocument/2006/relationships/hyperlink" Target="https://www.archives.gov/research/guide-fed-records/groups/048.html" TargetMode="External"/><Relationship Id="rId37" Type="http://schemas.openxmlformats.org/officeDocument/2006/relationships/hyperlink" Target="https://www.archives.gov/research/guide-fed-records/groups/048.html" TargetMode="External"/><Relationship Id="rId40" Type="http://schemas.openxmlformats.org/officeDocument/2006/relationships/hyperlink" Target="https://www.archives.gov/research/guide-fed-records/groups/350.html" TargetMode="External"/><Relationship Id="rId5" Type="http://schemas.openxmlformats.org/officeDocument/2006/relationships/hyperlink" Target="https://www.doi.gov/oia" TargetMode="External"/><Relationship Id="rId15" Type="http://schemas.openxmlformats.org/officeDocument/2006/relationships/hyperlink" Target="https://guides.library.manoa.hawaii.edu/c.php?g=105305&amp;p=685674" TargetMode="External"/><Relationship Id="rId23" Type="http://schemas.openxmlformats.org/officeDocument/2006/relationships/hyperlink" Target="https://legal-resources.uslegalforms.com/o/office-of-insular-affairs-o-i-a" TargetMode="External"/><Relationship Id="rId28" Type="http://schemas.openxmlformats.org/officeDocument/2006/relationships/hyperlink" Target="https://www.archives.gov/research/guide-fed-records/groups/350.html" TargetMode="External"/><Relationship Id="rId36" Type="http://schemas.openxmlformats.org/officeDocument/2006/relationships/hyperlink" Target="https://www.archives.gov/research/guide-fed-records/groups/350.html" TargetMode="External"/><Relationship Id="rId10" Type="http://schemas.openxmlformats.org/officeDocument/2006/relationships/hyperlink" Target="https://en.wikipedia.org/wiki/Bureau_of_Insular_Affairs" TargetMode="External"/><Relationship Id="rId19" Type="http://schemas.openxmlformats.org/officeDocument/2006/relationships/hyperlink" Target="https://guides.library.manoa.hawaii.edu/c.php?g=105305&amp;p=685674" TargetMode="External"/><Relationship Id="rId31" Type="http://schemas.openxmlformats.org/officeDocument/2006/relationships/hyperlink" Target="https://www.archives.gov/research/guide-fed-records/groups/350.html" TargetMode="External"/><Relationship Id="rId4" Type="http://schemas.openxmlformats.org/officeDocument/2006/relationships/webSettings" Target="webSettings.xml"/><Relationship Id="rId9" Type="http://schemas.openxmlformats.org/officeDocument/2006/relationships/hyperlink" Target="https://legal-resources.uslegalforms.com/o/office-of-insular-affairs-o-i-a" TargetMode="External"/><Relationship Id="rId14" Type="http://schemas.openxmlformats.org/officeDocument/2006/relationships/hyperlink" Target="https://www.doi.gov/oia/budget/authorities-public-law" TargetMode="External"/><Relationship Id="rId22" Type="http://schemas.openxmlformats.org/officeDocument/2006/relationships/hyperlink" Target="https://www.doi.gov/library/internet/insular" TargetMode="External"/><Relationship Id="rId27" Type="http://schemas.openxmlformats.org/officeDocument/2006/relationships/hyperlink" Target="https://www.archives.gov/research/guide-fed-records/groups/350.html" TargetMode="External"/><Relationship Id="rId30" Type="http://schemas.openxmlformats.org/officeDocument/2006/relationships/hyperlink" Target="https://guides.library.manoa.hawaii.edu/c.php?g=105322&amp;p=686242" TargetMode="External"/><Relationship Id="rId35" Type="http://schemas.openxmlformats.org/officeDocument/2006/relationships/hyperlink" Target="https://en.wikipedia.org/wiki/Bureau_of_Insular_Affairs" TargetMode="External"/><Relationship Id="rId43"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3</Pages>
  <Words>1355</Words>
  <Characters>7729</Characters>
  <Application>Microsoft Office Word</Application>
  <DocSecurity>0</DocSecurity>
  <Lines>64</Lines>
  <Paragraphs>18</Paragraphs>
  <ScaleCrop>false</ScaleCrop>
  <Company>C.M.T</Company>
  <LinksUpToDate>false</LinksUpToDate>
  <CharactersWithSpaces>9066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2026-07-22T22:04:00Z</dcterms:created>
  <dcterms:modified xsi:type="dcterms:W3CDTF">2026-07-25T06:44:00Z</dcterms:modified>
</cp:coreProperties>
</file>